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C0B5" w14:textId="77777777" w:rsidR="002529B4" w:rsidRPr="002A64D6" w:rsidRDefault="002529B4" w:rsidP="002529B4">
      <w:pPr>
        <w:pStyle w:val="Ttulo2"/>
        <w:ind w:left="1538" w:right="1556"/>
        <w:jc w:val="center"/>
        <w:rPr>
          <w:sz w:val="22"/>
          <w:szCs w:val="22"/>
        </w:rPr>
      </w:pPr>
      <w:r w:rsidRPr="002A64D6">
        <w:rPr>
          <w:sz w:val="22"/>
          <w:szCs w:val="22"/>
        </w:rPr>
        <w:t>ESTUDO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TÉCNICO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PRELIMINAR</w:t>
      </w:r>
    </w:p>
    <w:p w14:paraId="7EBAC25B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5DBF1EC2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080BE281" w14:textId="6FB242B4" w:rsidR="002529B4" w:rsidRPr="002A64D6" w:rsidRDefault="002529B4" w:rsidP="00A47EA4">
      <w:pPr>
        <w:pStyle w:val="PargrafodaLista"/>
        <w:widowControl w:val="0"/>
        <w:numPr>
          <w:ilvl w:val="0"/>
          <w:numId w:val="2"/>
        </w:numPr>
        <w:tabs>
          <w:tab w:val="left" w:pos="304"/>
        </w:tabs>
        <w:autoSpaceDE w:val="0"/>
        <w:autoSpaceDN w:val="0"/>
        <w:rPr>
          <w:b/>
          <w:sz w:val="22"/>
          <w:szCs w:val="22"/>
        </w:rPr>
      </w:pPr>
      <w:r w:rsidRPr="002A64D6">
        <w:rPr>
          <w:b/>
          <w:sz w:val="22"/>
          <w:szCs w:val="22"/>
        </w:rPr>
        <w:t>-</w:t>
      </w:r>
      <w:r w:rsidR="00D722EE">
        <w:rPr>
          <w:b/>
          <w:spacing w:val="-2"/>
          <w:sz w:val="22"/>
          <w:szCs w:val="22"/>
        </w:rPr>
        <w:t xml:space="preserve"> OBJETO</w:t>
      </w:r>
    </w:p>
    <w:p w14:paraId="165621BC" w14:textId="23A43DB5" w:rsidR="002529B4" w:rsidRPr="00D722EE" w:rsidRDefault="002529B4" w:rsidP="00A47EA4">
      <w:pPr>
        <w:pStyle w:val="PargrafodaLista"/>
        <w:widowControl w:val="0"/>
        <w:numPr>
          <w:ilvl w:val="1"/>
          <w:numId w:val="3"/>
        </w:numPr>
        <w:tabs>
          <w:tab w:val="left" w:pos="894"/>
        </w:tabs>
        <w:autoSpaceDE w:val="0"/>
        <w:autoSpaceDN w:val="0"/>
        <w:spacing w:before="137"/>
        <w:ind w:hanging="433"/>
        <w:jc w:val="both"/>
        <w:rPr>
          <w:sz w:val="22"/>
          <w:szCs w:val="22"/>
        </w:rPr>
      </w:pPr>
      <w:r w:rsidRPr="00C77ADC">
        <w:rPr>
          <w:sz w:val="22"/>
          <w:szCs w:val="22"/>
        </w:rPr>
        <w:t xml:space="preserve">O objeto desse estudo técnico preliminar é para o </w:t>
      </w:r>
      <w:r w:rsidRPr="00C77ADC">
        <w:rPr>
          <w:b/>
          <w:sz w:val="22"/>
          <w:szCs w:val="22"/>
        </w:rPr>
        <w:t xml:space="preserve">“CONTRATAÇÃO DE EMPRESA ESPECIALIZADA </w:t>
      </w:r>
      <w:r w:rsidR="0078159F">
        <w:rPr>
          <w:b/>
          <w:sz w:val="22"/>
          <w:szCs w:val="22"/>
        </w:rPr>
        <w:t xml:space="preserve">NO FORNECIMENTO DE LUMINÁRIAS DE LED PARA </w:t>
      </w:r>
      <w:bookmarkStart w:id="0" w:name="_GoBack"/>
      <w:bookmarkEnd w:id="0"/>
      <w:r w:rsidR="0078159F">
        <w:rPr>
          <w:b/>
          <w:sz w:val="22"/>
          <w:szCs w:val="22"/>
        </w:rPr>
        <w:t>ILUMINAÇÃO PÚBLICA DO MUNICÍPIO</w:t>
      </w:r>
      <w:r w:rsidR="00FF20F8">
        <w:rPr>
          <w:b/>
          <w:sz w:val="22"/>
          <w:szCs w:val="22"/>
        </w:rPr>
        <w:t xml:space="preserve"> </w:t>
      </w:r>
      <w:r w:rsidR="00170035">
        <w:rPr>
          <w:b/>
          <w:sz w:val="22"/>
          <w:szCs w:val="22"/>
        </w:rPr>
        <w:t>DE SÃO PEDRO DA CIPA-MT</w:t>
      </w:r>
      <w:r w:rsidR="00C77ADC" w:rsidRPr="00C77ADC">
        <w:rPr>
          <w:b/>
          <w:sz w:val="22"/>
          <w:szCs w:val="22"/>
        </w:rPr>
        <w:t>”</w:t>
      </w:r>
      <w:r w:rsidR="00C77ADC" w:rsidRPr="00C77ADC">
        <w:rPr>
          <w:b/>
          <w:bCs/>
          <w:sz w:val="22"/>
          <w:szCs w:val="22"/>
        </w:rPr>
        <w:t>,</w:t>
      </w:r>
      <w:r w:rsidR="00C77ADC" w:rsidRPr="00C77ADC">
        <w:rPr>
          <w:bCs/>
          <w:sz w:val="22"/>
          <w:szCs w:val="22"/>
        </w:rPr>
        <w:t xml:space="preserve"> </w:t>
      </w:r>
      <w:r w:rsidRPr="00C77ADC">
        <w:rPr>
          <w:bCs/>
          <w:sz w:val="22"/>
          <w:szCs w:val="22"/>
        </w:rPr>
        <w:t xml:space="preserve">em conformidade ao </w:t>
      </w:r>
      <w:r w:rsidRPr="00C77ADC">
        <w:rPr>
          <w:bCs/>
          <w:i/>
          <w:iCs/>
          <w:sz w:val="22"/>
          <w:szCs w:val="22"/>
        </w:rPr>
        <w:t>“caput”</w:t>
      </w:r>
      <w:r w:rsidR="00C77ADC">
        <w:rPr>
          <w:bCs/>
          <w:sz w:val="22"/>
          <w:szCs w:val="22"/>
        </w:rPr>
        <w:t xml:space="preserve"> do art. 75, inciso </w:t>
      </w:r>
      <w:r w:rsidR="00FF20F8">
        <w:rPr>
          <w:bCs/>
          <w:sz w:val="22"/>
          <w:szCs w:val="22"/>
        </w:rPr>
        <w:t>I</w:t>
      </w:r>
      <w:r w:rsidR="00C77ADC">
        <w:rPr>
          <w:bCs/>
          <w:sz w:val="22"/>
          <w:szCs w:val="22"/>
        </w:rPr>
        <w:t xml:space="preserve">I </w:t>
      </w:r>
      <w:r w:rsidRPr="00C77ADC">
        <w:rPr>
          <w:bCs/>
          <w:sz w:val="22"/>
          <w:szCs w:val="22"/>
        </w:rPr>
        <w:t xml:space="preserve">da Lei 14.133/2021. </w:t>
      </w:r>
    </w:p>
    <w:p w14:paraId="6590FA29" w14:textId="77777777" w:rsidR="00D722EE" w:rsidRPr="00D722EE" w:rsidRDefault="00D722EE" w:rsidP="00D722EE">
      <w:pPr>
        <w:widowControl w:val="0"/>
        <w:tabs>
          <w:tab w:val="left" w:pos="894"/>
        </w:tabs>
        <w:autoSpaceDE w:val="0"/>
        <w:autoSpaceDN w:val="0"/>
        <w:spacing w:before="137"/>
        <w:ind w:left="461"/>
        <w:jc w:val="both"/>
        <w:rPr>
          <w:sz w:val="22"/>
          <w:szCs w:val="22"/>
        </w:rPr>
      </w:pPr>
    </w:p>
    <w:p w14:paraId="6C387852" w14:textId="680E45A2" w:rsidR="00D722EE" w:rsidRDefault="00D722EE" w:rsidP="00D722EE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DESCRIÇÃO DA NECESSIDADE</w:t>
      </w:r>
    </w:p>
    <w:p w14:paraId="4E3C3607" w14:textId="77777777" w:rsidR="0078159F" w:rsidRPr="0078159F" w:rsidRDefault="0078159F" w:rsidP="0078159F"/>
    <w:p w14:paraId="51925084" w14:textId="54E70C6C" w:rsidR="0078159F" w:rsidRPr="0078159F" w:rsidRDefault="0078159F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>A Iluminação Pública é de fundamental importância para o desenvolvimento social e econômico dos municípios e constitui-se num dos vetores importantes para a segurança pública dos centros urbanos, no que se refere ao tráfego de veículos e de pedestres e à prevenção da criminalidade, além de valorizar e ajudar a preservar o patrimônio urbano, embelezando o bem público e propiciando a utilização noturna de atividades como lazer, comércio, cultura. O desgaste dos materiais que compõem o sistema de iluminação pública, com o passar do tempo é necessário a sua reposição.</w:t>
      </w:r>
    </w:p>
    <w:p w14:paraId="29B2E824" w14:textId="19578955" w:rsidR="00D722EE" w:rsidRPr="008B3B90" w:rsidRDefault="0078159F" w:rsidP="00D722EE">
      <w:pPr>
        <w:numPr>
          <w:ilvl w:val="1"/>
          <w:numId w:val="2"/>
        </w:numPr>
        <w:jc w:val="both"/>
        <w:rPr>
          <w:sz w:val="22"/>
          <w:szCs w:val="22"/>
        </w:rPr>
      </w:pPr>
      <w:r>
        <w:t>Diante desse contexto, fica clara a necessidade de a Administração Municipal atuar com agilidade e eficiência na execução da conservação do sistema de iluminação pública, uma vez que é seu dever e responsabilidade organizar e prestar os serviços de interesse local, sendo que a iluminação pública se constitui como uma das principais atribuições da Gestão Municipal.</w:t>
      </w:r>
    </w:p>
    <w:p w14:paraId="76F19490" w14:textId="77777777" w:rsidR="0078159F" w:rsidRPr="002A64D6" w:rsidRDefault="0078159F" w:rsidP="008B3B90">
      <w:pPr>
        <w:pStyle w:val="Corpodetexto"/>
        <w:spacing w:before="139" w:line="360" w:lineRule="auto"/>
        <w:ind w:right="107"/>
        <w:rPr>
          <w:sz w:val="22"/>
          <w:szCs w:val="22"/>
        </w:rPr>
      </w:pPr>
    </w:p>
    <w:p w14:paraId="27DE4AFB" w14:textId="77777777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PREVISÃO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NO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PLANO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ANUAL</w:t>
      </w:r>
    </w:p>
    <w:p w14:paraId="2CDD5957" w14:textId="77777777" w:rsidR="0078159F" w:rsidRPr="0078159F" w:rsidRDefault="0078159F" w:rsidP="0078159F"/>
    <w:p w14:paraId="15EF5188" w14:textId="30037629" w:rsidR="002529B4" w:rsidRPr="002A64D6" w:rsidRDefault="0078159F" w:rsidP="00A47EA4">
      <w:pPr>
        <w:numPr>
          <w:ilvl w:val="1"/>
          <w:numId w:val="2"/>
        </w:numPr>
        <w:jc w:val="both"/>
        <w:rPr>
          <w:sz w:val="22"/>
          <w:szCs w:val="22"/>
        </w:rPr>
      </w:pPr>
      <w:r>
        <w:t>O presente Estudo Técnico Preliminar possui fulcro na Lei Orçamentária Anual, que prevê despesas com a aquisição de material elétrico para manutenção nos equipamentos que compõe a rede de iluminação pública nas vias urbanas e nos bens de domínio público.</w:t>
      </w:r>
    </w:p>
    <w:p w14:paraId="191799C9" w14:textId="77777777" w:rsidR="002529B4" w:rsidRPr="002A64D6" w:rsidRDefault="002529B4" w:rsidP="002529B4">
      <w:pPr>
        <w:pStyle w:val="Corpodetexto"/>
        <w:spacing w:before="1"/>
        <w:rPr>
          <w:sz w:val="22"/>
          <w:szCs w:val="22"/>
        </w:rPr>
      </w:pPr>
    </w:p>
    <w:p w14:paraId="39738385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 REQUISITOS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273AD692" w14:textId="4BC17F03" w:rsidR="0078159F" w:rsidRPr="0078159F" w:rsidRDefault="00587E1E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 xml:space="preserve"> </w:t>
      </w:r>
      <w:r w:rsidR="0078159F">
        <w:t>O fornecedor deverá entregar as mercadorias de acordo com as necessidades da Secretaria Municipal de Infraestrutura, sendo de forma parcelada, após confirmação do recebimento da solicitação do Departamento de Compras.</w:t>
      </w:r>
    </w:p>
    <w:p w14:paraId="5932867B" w14:textId="06904E09" w:rsidR="0078159F" w:rsidRPr="0078159F" w:rsidRDefault="0078159F" w:rsidP="0078159F">
      <w:pPr>
        <w:pStyle w:val="PargrafodaLista"/>
        <w:widowControl w:val="0"/>
        <w:numPr>
          <w:ilvl w:val="1"/>
          <w:numId w:val="2"/>
        </w:numPr>
        <w:tabs>
          <w:tab w:val="left" w:pos="998"/>
        </w:tabs>
        <w:autoSpaceDE w:val="0"/>
        <w:autoSpaceDN w:val="0"/>
        <w:spacing w:before="137"/>
        <w:ind w:hanging="469"/>
        <w:jc w:val="both"/>
        <w:rPr>
          <w:sz w:val="22"/>
          <w:szCs w:val="22"/>
        </w:rPr>
      </w:pPr>
      <w:r>
        <w:t>O fornecedor ficará obrigado a trocar as suas expensas, no prazo máximo de 02 (dois) dias úteis da notificação, o produto, que vier a ser recusado sendo que o ato de recebimento não importará sua aceitação.</w:t>
      </w:r>
    </w:p>
    <w:p w14:paraId="690E7088" w14:textId="77777777" w:rsidR="0078159F" w:rsidRPr="0078159F" w:rsidRDefault="0078159F" w:rsidP="0078159F">
      <w:pPr>
        <w:widowControl w:val="0"/>
        <w:tabs>
          <w:tab w:val="left" w:pos="998"/>
        </w:tabs>
        <w:autoSpaceDE w:val="0"/>
        <w:autoSpaceDN w:val="0"/>
        <w:spacing w:before="137"/>
        <w:ind w:left="528"/>
        <w:jc w:val="both"/>
        <w:rPr>
          <w:sz w:val="22"/>
          <w:szCs w:val="22"/>
        </w:rPr>
      </w:pPr>
    </w:p>
    <w:p w14:paraId="1B6329FF" w14:textId="7FB7C63A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="00A26155">
        <w:rPr>
          <w:sz w:val="22"/>
          <w:szCs w:val="22"/>
        </w:rPr>
        <w:t>LEVANTAMENTO DE MERCADO:</w:t>
      </w:r>
    </w:p>
    <w:p w14:paraId="483CAB09" w14:textId="77777777" w:rsidR="00A26155" w:rsidRPr="00A26155" w:rsidRDefault="00A26155" w:rsidP="00A26155"/>
    <w:p w14:paraId="4683DF19" w14:textId="7A1B741D" w:rsidR="003E6AD7" w:rsidRDefault="00E77199" w:rsidP="002529B4">
      <w:pPr>
        <w:pStyle w:val="Corpodetex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Pr="00E77199">
        <w:rPr>
          <w:b w:val="0"/>
          <w:sz w:val="22"/>
          <w:szCs w:val="22"/>
        </w:rPr>
        <w:t xml:space="preserve">A </w:t>
      </w:r>
      <w:r w:rsidR="00AE3BB7">
        <w:rPr>
          <w:b w:val="0"/>
          <w:sz w:val="22"/>
          <w:szCs w:val="22"/>
        </w:rPr>
        <w:t xml:space="preserve">aquisição de luminárias é amplamente realizada por Dispensa Eletrônica, com a finalidade de atender as necessidades da Secretaria Municipal de Infraestrutura. </w:t>
      </w:r>
    </w:p>
    <w:p w14:paraId="4F96A2DA" w14:textId="77777777" w:rsidR="00AE3BB7" w:rsidRDefault="00AE3BB7" w:rsidP="002529B4">
      <w:pPr>
        <w:pStyle w:val="Corpodetex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</w:p>
    <w:p w14:paraId="4EE99A49" w14:textId="77777777" w:rsidR="00AE3BB7" w:rsidRDefault="00AE3BB7" w:rsidP="002529B4">
      <w:pPr>
        <w:pStyle w:val="Corpodetexto"/>
        <w:rPr>
          <w:b w:val="0"/>
          <w:sz w:val="22"/>
          <w:szCs w:val="22"/>
        </w:rPr>
      </w:pPr>
    </w:p>
    <w:p w14:paraId="0A426A63" w14:textId="30B4B7C1" w:rsidR="00AE3BB7" w:rsidRPr="00AE3BB7" w:rsidRDefault="00AE3BB7" w:rsidP="002529B4">
      <w:pPr>
        <w:pStyle w:val="Corpodetex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Pr="00AE3BB7">
        <w:rPr>
          <w:b w:val="0"/>
          <w:sz w:val="22"/>
          <w:szCs w:val="22"/>
        </w:rPr>
        <w:t>As exigências para a contratação do objeto não são impeditivas e não demonstraram diminuir o interesse de potenciais fornecedores na participação do futuro processo licitatório.</w:t>
      </w:r>
    </w:p>
    <w:p w14:paraId="3DA0B7A7" w14:textId="77777777" w:rsidR="00E77199" w:rsidRPr="00E77199" w:rsidRDefault="00E77199" w:rsidP="002529B4">
      <w:pPr>
        <w:pStyle w:val="Corpodetexto"/>
        <w:rPr>
          <w:b w:val="0"/>
          <w:sz w:val="22"/>
          <w:szCs w:val="22"/>
        </w:rPr>
      </w:pPr>
    </w:p>
    <w:p w14:paraId="13296BBB" w14:textId="3CFB8F07" w:rsidR="00885647" w:rsidRPr="00885647" w:rsidRDefault="00885647" w:rsidP="002529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5</w:t>
      </w:r>
      <w:r w:rsidRPr="00885647">
        <w:rPr>
          <w:sz w:val="24"/>
          <w:szCs w:val="24"/>
        </w:rPr>
        <w:t xml:space="preserve"> – DESCRIÇÃO DA SOLUÇÃO COMO UM TODO</w:t>
      </w:r>
      <w:r>
        <w:rPr>
          <w:sz w:val="24"/>
          <w:szCs w:val="24"/>
        </w:rPr>
        <w:t>:</w:t>
      </w:r>
    </w:p>
    <w:p w14:paraId="5DE87CC0" w14:textId="70EF3556" w:rsidR="00C666D4" w:rsidRDefault="00C666D4" w:rsidP="002529B4">
      <w:pPr>
        <w:pStyle w:val="Corpodetexto"/>
        <w:rPr>
          <w:b w:val="0"/>
          <w:sz w:val="22"/>
          <w:szCs w:val="22"/>
        </w:rPr>
      </w:pPr>
    </w:p>
    <w:p w14:paraId="45721180" w14:textId="1F445072" w:rsidR="00E77199" w:rsidRPr="00AE3BB7" w:rsidRDefault="00E77199" w:rsidP="002529B4">
      <w:pPr>
        <w:pStyle w:val="Corpodetex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AE3BB7" w:rsidRPr="00AE3BB7">
        <w:rPr>
          <w:b w:val="0"/>
          <w:sz w:val="22"/>
          <w:szCs w:val="22"/>
        </w:rPr>
        <w:t xml:space="preserve">Contratação de empresa para fornecimento de </w:t>
      </w:r>
      <w:r w:rsidR="00AE3BB7">
        <w:rPr>
          <w:b w:val="0"/>
          <w:sz w:val="22"/>
          <w:szCs w:val="22"/>
        </w:rPr>
        <w:t>luminárias</w:t>
      </w:r>
      <w:r w:rsidR="00AE3BB7" w:rsidRPr="00AE3BB7">
        <w:rPr>
          <w:b w:val="0"/>
          <w:sz w:val="22"/>
          <w:szCs w:val="22"/>
        </w:rPr>
        <w:t xml:space="preserve"> para uso na manutenção elétrica na rede elétrica de iluminação pública nas vias urbanos e n</w:t>
      </w:r>
      <w:r w:rsidR="00AE3BB7">
        <w:rPr>
          <w:b w:val="0"/>
          <w:sz w:val="22"/>
          <w:szCs w:val="22"/>
        </w:rPr>
        <w:t>os bens de domínio público,</w:t>
      </w:r>
      <w:r w:rsidR="00AE3BB7" w:rsidRPr="00AE3BB7">
        <w:rPr>
          <w:b w:val="0"/>
          <w:sz w:val="22"/>
          <w:szCs w:val="22"/>
        </w:rPr>
        <w:t xml:space="preserve"> com</w:t>
      </w:r>
      <w:r w:rsidR="00AE3BB7">
        <w:rPr>
          <w:b w:val="0"/>
          <w:sz w:val="22"/>
          <w:szCs w:val="22"/>
        </w:rPr>
        <w:t xml:space="preserve">o </w:t>
      </w:r>
      <w:r w:rsidR="00C73465">
        <w:rPr>
          <w:b w:val="0"/>
          <w:sz w:val="22"/>
          <w:szCs w:val="22"/>
        </w:rPr>
        <w:t xml:space="preserve">praças </w:t>
      </w:r>
      <w:r w:rsidR="00C73465" w:rsidRPr="00AE3BB7">
        <w:rPr>
          <w:b w:val="0"/>
          <w:sz w:val="22"/>
          <w:szCs w:val="22"/>
        </w:rPr>
        <w:t>do</w:t>
      </w:r>
      <w:r w:rsidR="00AE3BB7" w:rsidRPr="00AE3BB7">
        <w:rPr>
          <w:b w:val="0"/>
          <w:sz w:val="22"/>
          <w:szCs w:val="22"/>
        </w:rPr>
        <w:t xml:space="preserve"> Município de </w:t>
      </w:r>
      <w:r w:rsidR="00AE3BB7">
        <w:rPr>
          <w:b w:val="0"/>
          <w:sz w:val="22"/>
          <w:szCs w:val="22"/>
        </w:rPr>
        <w:t xml:space="preserve">São Pedro da </w:t>
      </w:r>
      <w:proofErr w:type="spellStart"/>
      <w:r w:rsidR="00AE3BB7">
        <w:rPr>
          <w:b w:val="0"/>
          <w:sz w:val="22"/>
          <w:szCs w:val="22"/>
        </w:rPr>
        <w:t>Cipa</w:t>
      </w:r>
      <w:proofErr w:type="spellEnd"/>
      <w:r w:rsidR="00AE3BB7">
        <w:rPr>
          <w:b w:val="0"/>
          <w:sz w:val="22"/>
          <w:szCs w:val="22"/>
        </w:rPr>
        <w:t>, e por um período de 06</w:t>
      </w:r>
      <w:r w:rsidR="00AE3BB7" w:rsidRPr="00AE3BB7">
        <w:rPr>
          <w:b w:val="0"/>
          <w:sz w:val="22"/>
          <w:szCs w:val="22"/>
        </w:rPr>
        <w:t xml:space="preserve"> meses nos termos quantitativos e qualitativos do presente Estudo Técnico Preliminar.</w:t>
      </w:r>
    </w:p>
    <w:p w14:paraId="36A3DFA2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230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ESTIMATIVA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DO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PREÇO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6EC01989" w14:textId="77777777" w:rsidR="002529B4" w:rsidRDefault="002529B4" w:rsidP="002529B4">
      <w:pPr>
        <w:pStyle w:val="Corpodetexto"/>
        <w:rPr>
          <w:b w:val="0"/>
          <w:bCs w:val="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"/>
        <w:gridCol w:w="1164"/>
        <w:gridCol w:w="2368"/>
        <w:gridCol w:w="1066"/>
        <w:gridCol w:w="1341"/>
        <w:gridCol w:w="1682"/>
      </w:tblGrid>
      <w:tr w:rsidR="00C14A4E" w14:paraId="66725340" w14:textId="77777777" w:rsidTr="00C14A4E">
        <w:trPr>
          <w:trHeight w:val="348"/>
        </w:trPr>
        <w:tc>
          <w:tcPr>
            <w:tcW w:w="883" w:type="dxa"/>
          </w:tcPr>
          <w:p w14:paraId="46CE9B57" w14:textId="5EB94B57" w:rsidR="00C14A4E" w:rsidRPr="00C666D4" w:rsidRDefault="00C14A4E" w:rsidP="00C666D4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C666D4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1173" w:type="dxa"/>
          </w:tcPr>
          <w:p w14:paraId="7F2A2661" w14:textId="0BB70F04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2351" w:type="dxa"/>
          </w:tcPr>
          <w:p w14:paraId="0F0F45E9" w14:textId="701B0E26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66" w:type="dxa"/>
          </w:tcPr>
          <w:p w14:paraId="57F9BA0F" w14:textId="68069CCE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QUANT</w:t>
            </w:r>
            <w:r w:rsidRPr="00FD76E2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257" w:type="dxa"/>
          </w:tcPr>
          <w:p w14:paraId="198D3F10" w14:textId="633BFA93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764" w:type="dxa"/>
          </w:tcPr>
          <w:p w14:paraId="2263B70E" w14:textId="0BB77EEF" w:rsidR="00C14A4E" w:rsidRPr="00FD76E2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FD76E2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C14A4E" w14:paraId="75961D67" w14:textId="77777777" w:rsidTr="00C14A4E">
        <w:trPr>
          <w:trHeight w:val="1969"/>
        </w:trPr>
        <w:tc>
          <w:tcPr>
            <w:tcW w:w="883" w:type="dxa"/>
          </w:tcPr>
          <w:p w14:paraId="549ECEE4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3DDCB29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C7AE26" w14:textId="77777777" w:rsidR="00C14A4E" w:rsidRPr="00C73465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EF5EC3F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B750DEC" w14:textId="77777777" w:rsid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F09CCF" w14:textId="1274F74B" w:rsidR="00C14A4E" w:rsidRPr="00C73465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73465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173" w:type="dxa"/>
          </w:tcPr>
          <w:p w14:paraId="343109DF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9CA483A" w14:textId="77777777" w:rsidR="00C14A4E" w:rsidRPr="00C73465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33F7659" w14:textId="77777777" w:rsidR="00C14A4E" w:rsidRPr="00C73465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4A3D2D3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BDBDC6B" w14:textId="77777777" w:rsidR="00C14A4E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0BBC93E2" w14:textId="35A71E1A" w:rsidR="00C14A4E" w:rsidRPr="00C73465" w:rsidRDefault="00C14A4E" w:rsidP="00C73465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C73465">
              <w:rPr>
                <w:b w:val="0"/>
                <w:color w:val="212529"/>
                <w:sz w:val="22"/>
                <w:szCs w:val="22"/>
                <w:shd w:val="clear" w:color="auto" w:fill="FFFFFF"/>
              </w:rPr>
              <w:t>00053459</w:t>
            </w:r>
          </w:p>
        </w:tc>
        <w:tc>
          <w:tcPr>
            <w:tcW w:w="2351" w:type="dxa"/>
          </w:tcPr>
          <w:p w14:paraId="0976EB89" w14:textId="77777777" w:rsidR="00C14A4E" w:rsidRPr="00C73465" w:rsidRDefault="00C14A4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0A05434B" w14:textId="77777777" w:rsidR="00C14A4E" w:rsidRPr="00C73465" w:rsidRDefault="00C14A4E" w:rsidP="00C7346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C73465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LUMINARIA - PARA ILUMINACAO PUBLICA DE LED, POTÊNCIA MAXIMA 60W PRODUZIDO EM LIGA DE ALUMINIO INJETADO SOB ALTA PRESSAO E ACABAMENTO COM PINTURA ELETROSTATICA</w:t>
            </w:r>
          </w:p>
          <w:p w14:paraId="5C82010B" w14:textId="77777777" w:rsidR="00C14A4E" w:rsidRPr="00C73465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EE003B1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0A101B5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CB7697" w14:textId="77777777" w:rsidR="00C14A4E" w:rsidRP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F08CE85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E7741E" w14:textId="77777777" w:rsidR="00C14A4E" w:rsidRPr="00C14A4E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6EE8D4" w14:textId="22CD14D5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50</w:t>
            </w:r>
          </w:p>
        </w:tc>
        <w:tc>
          <w:tcPr>
            <w:tcW w:w="1257" w:type="dxa"/>
          </w:tcPr>
          <w:p w14:paraId="4D5E9EC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FD359E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9FED0A2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F968F5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062186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CFB0BC" w14:textId="3705CE72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R$ 470,66</w:t>
            </w:r>
          </w:p>
        </w:tc>
        <w:tc>
          <w:tcPr>
            <w:tcW w:w="1764" w:type="dxa"/>
          </w:tcPr>
          <w:p w14:paraId="62475EDF" w14:textId="5AB9110B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70F7929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7A8062A" w14:textId="77777777" w:rsidR="00C14A4E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CA02D83" w14:textId="77777777" w:rsidR="00C14A4E" w:rsidRDefault="00C14A4E" w:rsidP="00E77199">
            <w:pPr>
              <w:pStyle w:val="Corpodetex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7534441" w14:textId="77777777" w:rsidR="00C14A4E" w:rsidRDefault="00C14A4E" w:rsidP="00C14A4E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</w:p>
          <w:p w14:paraId="73E6BAB8" w14:textId="6876C8AB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R$ 23.533,00</w:t>
            </w:r>
          </w:p>
        </w:tc>
      </w:tr>
      <w:tr w:rsidR="00C14A4E" w14:paraId="372F0108" w14:textId="77777777" w:rsidTr="00C14A4E">
        <w:trPr>
          <w:trHeight w:val="1969"/>
        </w:trPr>
        <w:tc>
          <w:tcPr>
            <w:tcW w:w="883" w:type="dxa"/>
          </w:tcPr>
          <w:p w14:paraId="00192476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987A63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2022DCA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8A36CC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98B3F2" w14:textId="77777777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02</w:t>
            </w:r>
          </w:p>
          <w:p w14:paraId="4EEAF1D5" w14:textId="4AF5BE77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D9C0C8B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5699ECD0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090282A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1561BD5C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264C5C7C" w14:textId="2AAC5DC7" w:rsidR="00C14A4E" w:rsidRP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  <w:r w:rsidRPr="00C14A4E">
              <w:rPr>
                <w:b w:val="0"/>
                <w:color w:val="212529"/>
                <w:sz w:val="22"/>
                <w:szCs w:val="22"/>
                <w:shd w:val="clear" w:color="auto" w:fill="FFFFFF"/>
              </w:rPr>
              <w:t>00070779</w:t>
            </w:r>
          </w:p>
        </w:tc>
        <w:tc>
          <w:tcPr>
            <w:tcW w:w="2351" w:type="dxa"/>
          </w:tcPr>
          <w:p w14:paraId="189FB57D" w14:textId="77777777" w:rsidR="00C14A4E" w:rsidRDefault="00C14A4E" w:rsidP="00C14A4E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55484075" w14:textId="77777777" w:rsidR="00C14A4E" w:rsidRPr="00C14A4E" w:rsidRDefault="00C14A4E" w:rsidP="00C14A4E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C14A4E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LUMINARIA - PARA ILIMINACAO PUBLICA, MODELO PETALA, LED 100W PARA POSTE DE RUA COR BRANCO FRIO</w:t>
            </w:r>
          </w:p>
          <w:p w14:paraId="5A84CE4C" w14:textId="77777777" w:rsidR="00C14A4E" w:rsidRPr="00C14A4E" w:rsidRDefault="00C14A4E" w:rsidP="00C14A4E">
            <w:pPr>
              <w:pStyle w:val="Ttulo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61AA2DB0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8A7ACC7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39C2117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7AE3E2F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73AB05B" w14:textId="77777777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10</w:t>
            </w:r>
          </w:p>
          <w:p w14:paraId="33EB1DDD" w14:textId="0398C7EE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429447D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D952134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27ABC5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5F58347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E58279" w14:textId="1E6164EE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R$ 672,00</w:t>
            </w:r>
          </w:p>
        </w:tc>
        <w:tc>
          <w:tcPr>
            <w:tcW w:w="1764" w:type="dxa"/>
          </w:tcPr>
          <w:p w14:paraId="56BA050C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960776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4D250D0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3730897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8CB37F8" w14:textId="113AADD0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R$ 6.720,00</w:t>
            </w:r>
          </w:p>
        </w:tc>
      </w:tr>
      <w:tr w:rsidR="00C14A4E" w14:paraId="41D83E9A" w14:textId="77777777" w:rsidTr="00C14A4E">
        <w:trPr>
          <w:trHeight w:val="70"/>
        </w:trPr>
        <w:tc>
          <w:tcPr>
            <w:tcW w:w="883" w:type="dxa"/>
          </w:tcPr>
          <w:p w14:paraId="6EFD1ECB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F933B77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E5D4FD2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CCC146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C37FA46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BBF32C" w14:textId="77777777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03</w:t>
            </w:r>
          </w:p>
          <w:p w14:paraId="5244E4BE" w14:textId="650EED8C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3" w:type="dxa"/>
          </w:tcPr>
          <w:p w14:paraId="3A8952A1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133C66D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A501890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6DCB4BC3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2B2676FF" w14:textId="77777777" w:rsid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38082896" w14:textId="3F82D151" w:rsidR="00C14A4E" w:rsidRPr="00C14A4E" w:rsidRDefault="00C14A4E" w:rsidP="00C14A4E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  <w:r w:rsidRPr="00C14A4E">
              <w:rPr>
                <w:b w:val="0"/>
                <w:color w:val="212529"/>
                <w:sz w:val="22"/>
                <w:szCs w:val="22"/>
                <w:shd w:val="clear" w:color="auto" w:fill="FFFFFF"/>
              </w:rPr>
              <w:t>00057493</w:t>
            </w:r>
          </w:p>
        </w:tc>
        <w:tc>
          <w:tcPr>
            <w:tcW w:w="2351" w:type="dxa"/>
          </w:tcPr>
          <w:p w14:paraId="6B59CC3D" w14:textId="77777777" w:rsidR="00C14A4E" w:rsidRDefault="00C14A4E" w:rsidP="00C14A4E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5CC06059" w14:textId="77777777" w:rsidR="00C14A4E" w:rsidRPr="00C14A4E" w:rsidRDefault="00C14A4E" w:rsidP="00C14A4E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C14A4E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 xml:space="preserve">LUMINARIA - LED PUBLICA 200W CINZA SMD TEMPERATURA DE </w:t>
            </w:r>
            <w:proofErr w:type="gramStart"/>
            <w:r w:rsidRPr="00C14A4E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COR :</w:t>
            </w:r>
            <w:proofErr w:type="gramEnd"/>
            <w:r w:rsidRPr="00C14A4E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 xml:space="preserve"> 6500K DIMENSAO:ANGULO DE ABERTURA: 150° TENSAO DE TRABALHO: AC85-265V POTÊNCIA: 200W</w:t>
            </w:r>
          </w:p>
          <w:p w14:paraId="2C09DAFC" w14:textId="77777777" w:rsidR="00C14A4E" w:rsidRPr="00C14A4E" w:rsidRDefault="00C14A4E" w:rsidP="00C14A4E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DAFD18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0701E9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0E132D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A6945B8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744DD28" w14:textId="77777777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10</w:t>
            </w:r>
          </w:p>
          <w:p w14:paraId="1122BCE2" w14:textId="5112549D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3A45A05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31E31CE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8698A52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3EC478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B4DA94" w14:textId="1B43D3BC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R$ 798,00</w:t>
            </w:r>
          </w:p>
        </w:tc>
        <w:tc>
          <w:tcPr>
            <w:tcW w:w="1764" w:type="dxa"/>
          </w:tcPr>
          <w:p w14:paraId="6A7FDFE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6BE6C8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25734D1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691F65D" w14:textId="77777777" w:rsid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324D9C" w14:textId="716E694D" w:rsidR="00C14A4E" w:rsidRPr="00C14A4E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C14A4E">
              <w:rPr>
                <w:b w:val="0"/>
                <w:bCs w:val="0"/>
                <w:sz w:val="22"/>
                <w:szCs w:val="22"/>
              </w:rPr>
              <w:t>R$ 7.980,00</w:t>
            </w:r>
          </w:p>
        </w:tc>
      </w:tr>
    </w:tbl>
    <w:p w14:paraId="20BB10DC" w14:textId="4410AC21" w:rsidR="00F14994" w:rsidRPr="002A64D6" w:rsidRDefault="00F14994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p w14:paraId="193DFCB4" w14:textId="77777777" w:rsidR="002529B4" w:rsidRPr="002A64D6" w:rsidRDefault="002529B4" w:rsidP="002529B4">
      <w:pPr>
        <w:pStyle w:val="Corpodetexto"/>
        <w:spacing w:before="10"/>
        <w:rPr>
          <w:sz w:val="22"/>
          <w:szCs w:val="22"/>
        </w:rPr>
      </w:pPr>
    </w:p>
    <w:p w14:paraId="7A14465A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JUSTIFICATIVA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PARCELAMENTO</w:t>
      </w:r>
      <w:r w:rsidRPr="002A64D6">
        <w:rPr>
          <w:spacing w:val="1"/>
          <w:sz w:val="22"/>
          <w:szCs w:val="22"/>
        </w:rPr>
        <w:t xml:space="preserve"> </w:t>
      </w:r>
      <w:r w:rsidRPr="002A64D6">
        <w:rPr>
          <w:sz w:val="22"/>
          <w:szCs w:val="22"/>
        </w:rPr>
        <w:t>OU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NÃO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SOLUÇÃO</w:t>
      </w:r>
    </w:p>
    <w:p w14:paraId="6AD58DA5" w14:textId="77777777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2D8B82DB" w14:textId="4D876E4A" w:rsidR="00EE58C5" w:rsidRDefault="00C8007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2362B3" w:rsidRPr="00C8007E">
        <w:rPr>
          <w:b w:val="0"/>
          <w:sz w:val="22"/>
          <w:szCs w:val="22"/>
        </w:rPr>
        <w:t xml:space="preserve">Dada à natureza da aquisição envolvida no presente ETP, que cuida de </w:t>
      </w:r>
      <w:r w:rsidR="00C14A4E">
        <w:rPr>
          <w:b w:val="0"/>
          <w:sz w:val="22"/>
          <w:szCs w:val="22"/>
        </w:rPr>
        <w:t>aquisição de luminária para iluminação pública</w:t>
      </w:r>
      <w:r w:rsidR="002362B3" w:rsidRPr="00C8007E">
        <w:rPr>
          <w:b w:val="0"/>
          <w:sz w:val="22"/>
          <w:szCs w:val="22"/>
        </w:rPr>
        <w:t>, não se cogita de q</w:t>
      </w:r>
      <w:r w:rsidR="00C14A4E">
        <w:rPr>
          <w:b w:val="0"/>
          <w:sz w:val="22"/>
          <w:szCs w:val="22"/>
        </w:rPr>
        <w:t xml:space="preserve">ualquer parcelamento da solução. </w:t>
      </w:r>
    </w:p>
    <w:p w14:paraId="27EDEC93" w14:textId="77777777" w:rsidR="00C8007E" w:rsidRPr="00C8007E" w:rsidRDefault="00C8007E" w:rsidP="002529B4">
      <w:pPr>
        <w:pStyle w:val="Corpodetexto"/>
        <w:spacing w:before="10"/>
        <w:rPr>
          <w:b w:val="0"/>
          <w:sz w:val="22"/>
          <w:szCs w:val="22"/>
        </w:rPr>
      </w:pPr>
    </w:p>
    <w:p w14:paraId="1DA7EC41" w14:textId="01AFC8B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1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-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RESULTADOS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PRETENDIDOS</w:t>
      </w:r>
    </w:p>
    <w:p w14:paraId="1D8497DB" w14:textId="77777777" w:rsidR="002529B4" w:rsidRDefault="002529B4" w:rsidP="002529B4">
      <w:pPr>
        <w:pStyle w:val="Corpodetexto"/>
        <w:rPr>
          <w:sz w:val="22"/>
          <w:szCs w:val="22"/>
        </w:rPr>
      </w:pPr>
    </w:p>
    <w:p w14:paraId="0DD7E5BC" w14:textId="00831F8B" w:rsidR="00241008" w:rsidRPr="0061135C" w:rsidRDefault="00241008" w:rsidP="0061135C">
      <w:pPr>
        <w:pStyle w:val="Corpodetexto"/>
        <w:rPr>
          <w:b w:val="0"/>
          <w:sz w:val="22"/>
          <w:szCs w:val="22"/>
        </w:rPr>
      </w:pPr>
      <w:r w:rsidRPr="0061135C">
        <w:rPr>
          <w:b w:val="0"/>
          <w:sz w:val="22"/>
          <w:szCs w:val="22"/>
        </w:rPr>
        <w:t xml:space="preserve">   </w:t>
      </w:r>
      <w:r w:rsidR="0061135C" w:rsidRPr="0061135C">
        <w:rPr>
          <w:b w:val="0"/>
          <w:sz w:val="22"/>
          <w:szCs w:val="22"/>
        </w:rPr>
        <w:t>Receber o objeto do presente Estudo Técnico preliminar com a melhor qualidade possível, na quantidade correta e dentro do prazo desejado, para atender a Secretaria solicitante e garantir a qualidade na execução das tarefas dos serviços de manutenção da rede de iluminação pública.</w:t>
      </w:r>
    </w:p>
    <w:p w14:paraId="415DD0F7" w14:textId="77777777" w:rsidR="0061135C" w:rsidRPr="00241008" w:rsidRDefault="0061135C" w:rsidP="0061135C">
      <w:pPr>
        <w:pStyle w:val="Corpodetexto"/>
        <w:rPr>
          <w:b w:val="0"/>
          <w:sz w:val="24"/>
          <w:szCs w:val="24"/>
        </w:rPr>
      </w:pPr>
    </w:p>
    <w:p w14:paraId="02C27A90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PROVIDÊNCIAS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PRÉVIAS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CONTRATO</w:t>
      </w:r>
    </w:p>
    <w:p w14:paraId="6DE7F3D0" w14:textId="77777777" w:rsidR="00241008" w:rsidRPr="00241008" w:rsidRDefault="00241008" w:rsidP="00241008"/>
    <w:p w14:paraId="526E063D" w14:textId="3E99209C" w:rsidR="002529B4" w:rsidRPr="00611149" w:rsidRDefault="00862ED6" w:rsidP="002529B4">
      <w:pPr>
        <w:pStyle w:val="Corpodetexto"/>
        <w:spacing w:before="10"/>
        <w:rPr>
          <w:b w:val="0"/>
          <w:sz w:val="22"/>
          <w:szCs w:val="22"/>
        </w:rPr>
      </w:pPr>
      <w:r>
        <w:t xml:space="preserve">    </w:t>
      </w:r>
      <w:r w:rsidRPr="00611149">
        <w:rPr>
          <w:b w:val="0"/>
          <w:sz w:val="22"/>
          <w:szCs w:val="22"/>
        </w:rPr>
        <w:t xml:space="preserve">A Administração, deverá designar o fiscal de contrato, servidor para gerenciar, acompanhar e fiscalizar a entrega </w:t>
      </w:r>
      <w:r w:rsidR="0061135C">
        <w:rPr>
          <w:b w:val="0"/>
          <w:sz w:val="22"/>
          <w:szCs w:val="22"/>
        </w:rPr>
        <w:t>das luminárias</w:t>
      </w:r>
      <w:r w:rsidRPr="00611149">
        <w:rPr>
          <w:b w:val="0"/>
          <w:sz w:val="22"/>
          <w:szCs w:val="22"/>
        </w:rPr>
        <w:t xml:space="preserve">, anotando em registro próprio todas as ocorrências relacionadas com a execução e determinando o que for necessário à regularização de falhas ou defeitos observados. Os </w:t>
      </w:r>
      <w:r w:rsidR="0061135C">
        <w:rPr>
          <w:b w:val="0"/>
          <w:sz w:val="22"/>
          <w:szCs w:val="22"/>
        </w:rPr>
        <w:t xml:space="preserve">materiais deverão </w:t>
      </w:r>
      <w:r w:rsidRPr="00611149">
        <w:rPr>
          <w:b w:val="0"/>
          <w:sz w:val="22"/>
          <w:szCs w:val="22"/>
        </w:rPr>
        <w:t>ser entregues no endereço informado, dentro do prazo definido, devendo às expensas da entrega correr por parte do fornecedor, sem ônus de frete ou cobranças adicionais a Secretaria.</w:t>
      </w:r>
    </w:p>
    <w:p w14:paraId="48EE8F4C" w14:textId="77777777" w:rsidR="00611149" w:rsidRPr="002A64D6" w:rsidRDefault="00611149" w:rsidP="002529B4">
      <w:pPr>
        <w:pStyle w:val="Corpodetexto"/>
        <w:spacing w:before="10"/>
        <w:rPr>
          <w:sz w:val="22"/>
          <w:szCs w:val="22"/>
        </w:rPr>
      </w:pPr>
    </w:p>
    <w:p w14:paraId="61F2228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CORRELATAS/INTERDEPENDENTES</w:t>
      </w:r>
    </w:p>
    <w:p w14:paraId="033AA8EB" w14:textId="77777777" w:rsidR="00241008" w:rsidRPr="00241008" w:rsidRDefault="00241008" w:rsidP="00241008"/>
    <w:p w14:paraId="21249DF8" w14:textId="2E8CF333" w:rsidR="002529B4" w:rsidRPr="002A64D6" w:rsidRDefault="00B74F10" w:rsidP="00D22EC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29B4" w:rsidRPr="002A64D6">
        <w:rPr>
          <w:sz w:val="22"/>
          <w:szCs w:val="22"/>
        </w:rPr>
        <w:t>Não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há</w:t>
      </w:r>
      <w:r w:rsidR="002529B4" w:rsidRPr="002A64D6">
        <w:rPr>
          <w:spacing w:val="16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necessidade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de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contratações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correlatas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para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atender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ao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objeto</w:t>
      </w:r>
      <w:r w:rsidR="00241008">
        <w:rPr>
          <w:sz w:val="22"/>
          <w:szCs w:val="22"/>
        </w:rPr>
        <w:t xml:space="preserve"> desta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contratação.</w:t>
      </w:r>
    </w:p>
    <w:p w14:paraId="14CCFAA7" w14:textId="77777777" w:rsidR="002529B4" w:rsidRPr="002A64D6" w:rsidRDefault="002529B4" w:rsidP="002529B4">
      <w:pPr>
        <w:pStyle w:val="Corpodetexto"/>
        <w:spacing w:before="11"/>
        <w:rPr>
          <w:sz w:val="22"/>
          <w:szCs w:val="22"/>
        </w:rPr>
      </w:pPr>
    </w:p>
    <w:p w14:paraId="16B89E0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895C3E">
        <w:rPr>
          <w:sz w:val="22"/>
          <w:szCs w:val="22"/>
        </w:rPr>
        <w:t>–</w:t>
      </w:r>
      <w:r w:rsidRPr="00895C3E">
        <w:rPr>
          <w:spacing w:val="-2"/>
          <w:sz w:val="22"/>
          <w:szCs w:val="22"/>
        </w:rPr>
        <w:t xml:space="preserve"> </w:t>
      </w:r>
      <w:r w:rsidRPr="00895C3E">
        <w:rPr>
          <w:sz w:val="22"/>
          <w:szCs w:val="22"/>
        </w:rPr>
        <w:t>IMPACTOS AMBIENTAIS</w:t>
      </w:r>
    </w:p>
    <w:p w14:paraId="1A193ADF" w14:textId="4EB7D381" w:rsidR="00A47EA4" w:rsidRDefault="00A47EA4" w:rsidP="00895C3E">
      <w:pPr>
        <w:pStyle w:val="PargrafodaLista"/>
      </w:pPr>
    </w:p>
    <w:p w14:paraId="02FC2DAE" w14:textId="1047495A" w:rsidR="00611149" w:rsidRPr="00A47EA4" w:rsidRDefault="00611149" w:rsidP="00611149">
      <w:r>
        <w:t xml:space="preserve">    Dada a natureza da aquisição envolvida no presente ETP, não se aplica ao caso. </w:t>
      </w:r>
      <w:r w:rsidR="0061135C">
        <w:t>Por outro lado, as luminárias LED são consideradas mais sustentáveis, uma vez que não contêm elementos tóxicos em sua composição</w:t>
      </w:r>
    </w:p>
    <w:p w14:paraId="43C62726" w14:textId="337661B2" w:rsidR="00895C3E" w:rsidRPr="00895C3E" w:rsidRDefault="00895C3E" w:rsidP="00895C3E"/>
    <w:p w14:paraId="50F5AB3F" w14:textId="77777777" w:rsidR="00B74F10" w:rsidRPr="00895C3E" w:rsidRDefault="00B74F10" w:rsidP="00B74F10"/>
    <w:p w14:paraId="2CAAAD19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VIABILIDADE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571E2648" w14:textId="792224E2" w:rsidR="00B74F10" w:rsidRPr="00B74F10" w:rsidRDefault="00B74F10" w:rsidP="00B74F10">
      <w:r>
        <w:t xml:space="preserve">  </w:t>
      </w:r>
    </w:p>
    <w:p w14:paraId="20311A83" w14:textId="478AC8CB" w:rsidR="00D22EC7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74F10">
        <w:rPr>
          <w:b w:val="0"/>
          <w:sz w:val="24"/>
          <w:szCs w:val="24"/>
        </w:rPr>
        <w:t>Os estudos preliminares evidenciaram que a contratação da solução se mostra possível tecnicamente e fundamentadamente necessária. Diante do exposto, declara-se ser viável a contratação pretendida.</w:t>
      </w:r>
    </w:p>
    <w:p w14:paraId="3245E6B1" w14:textId="77777777" w:rsid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3EAFF110" w14:textId="77777777" w:rsidR="00B74F10" w:rsidRP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2E48D252" w14:textId="77777777" w:rsidR="00D22EC7" w:rsidRPr="002A64D6" w:rsidRDefault="00D22EC7" w:rsidP="002529B4">
      <w:pPr>
        <w:pStyle w:val="Corpodetexto"/>
        <w:jc w:val="right"/>
        <w:rPr>
          <w:sz w:val="22"/>
          <w:szCs w:val="22"/>
        </w:rPr>
      </w:pPr>
    </w:p>
    <w:p w14:paraId="1D43FD7C" w14:textId="76E28726" w:rsidR="002529B4" w:rsidRPr="002A64D6" w:rsidRDefault="00C41BCC" w:rsidP="002529B4">
      <w:pPr>
        <w:pStyle w:val="Corpodetexto"/>
        <w:jc w:val="right"/>
        <w:rPr>
          <w:b w:val="0"/>
          <w:bCs w:val="0"/>
          <w:sz w:val="22"/>
          <w:szCs w:val="22"/>
        </w:rPr>
      </w:pPr>
      <w:r w:rsidRPr="002A64D6">
        <w:rPr>
          <w:b w:val="0"/>
          <w:bCs w:val="0"/>
          <w:sz w:val="22"/>
          <w:szCs w:val="22"/>
        </w:rPr>
        <w:t>São P</w:t>
      </w:r>
      <w:r w:rsidR="00D22EC7" w:rsidRPr="002A64D6">
        <w:rPr>
          <w:b w:val="0"/>
          <w:bCs w:val="0"/>
          <w:sz w:val="22"/>
          <w:szCs w:val="22"/>
        </w:rPr>
        <w:t>e</w:t>
      </w:r>
      <w:r w:rsidRPr="002A64D6">
        <w:rPr>
          <w:b w:val="0"/>
          <w:bCs w:val="0"/>
          <w:sz w:val="22"/>
          <w:szCs w:val="22"/>
        </w:rPr>
        <w:t xml:space="preserve">dro da </w:t>
      </w:r>
      <w:proofErr w:type="spellStart"/>
      <w:r w:rsidRPr="002A64D6">
        <w:rPr>
          <w:b w:val="0"/>
          <w:bCs w:val="0"/>
          <w:sz w:val="22"/>
          <w:szCs w:val="22"/>
        </w:rPr>
        <w:t>Cipa</w:t>
      </w:r>
      <w:proofErr w:type="spellEnd"/>
      <w:r w:rsidRPr="002A64D6">
        <w:rPr>
          <w:b w:val="0"/>
          <w:bCs w:val="0"/>
          <w:sz w:val="22"/>
          <w:szCs w:val="22"/>
        </w:rPr>
        <w:t>/MT</w:t>
      </w:r>
      <w:r w:rsidR="002529B4" w:rsidRPr="002A64D6">
        <w:rPr>
          <w:b w:val="0"/>
          <w:bCs w:val="0"/>
          <w:sz w:val="22"/>
          <w:szCs w:val="22"/>
        </w:rPr>
        <w:t>,</w:t>
      </w:r>
      <w:r w:rsidR="002529B4" w:rsidRPr="002A64D6">
        <w:rPr>
          <w:b w:val="0"/>
          <w:bCs w:val="0"/>
          <w:spacing w:val="-2"/>
          <w:sz w:val="22"/>
          <w:szCs w:val="22"/>
        </w:rPr>
        <w:t xml:space="preserve"> </w:t>
      </w:r>
      <w:r w:rsidR="0061135C">
        <w:rPr>
          <w:b w:val="0"/>
          <w:bCs w:val="0"/>
          <w:spacing w:val="-2"/>
          <w:sz w:val="22"/>
          <w:szCs w:val="22"/>
        </w:rPr>
        <w:t>14</w:t>
      </w:r>
      <w:r w:rsidR="002529B4" w:rsidRPr="002A64D6">
        <w:rPr>
          <w:b w:val="0"/>
          <w:bCs w:val="0"/>
          <w:spacing w:val="-4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de</w:t>
      </w:r>
      <w:r w:rsidR="002529B4" w:rsidRPr="002A64D6">
        <w:rPr>
          <w:b w:val="0"/>
          <w:bCs w:val="0"/>
          <w:spacing w:val="1"/>
          <w:sz w:val="22"/>
          <w:szCs w:val="22"/>
        </w:rPr>
        <w:t xml:space="preserve"> </w:t>
      </w:r>
      <w:r w:rsidR="00611149">
        <w:rPr>
          <w:b w:val="0"/>
          <w:bCs w:val="0"/>
          <w:spacing w:val="1"/>
          <w:sz w:val="22"/>
          <w:szCs w:val="22"/>
        </w:rPr>
        <w:t>fevereiro</w:t>
      </w:r>
      <w:r w:rsidR="002529B4" w:rsidRPr="002A64D6">
        <w:rPr>
          <w:b w:val="0"/>
          <w:bCs w:val="0"/>
          <w:sz w:val="22"/>
          <w:szCs w:val="22"/>
        </w:rPr>
        <w:t xml:space="preserve"> de</w:t>
      </w:r>
      <w:r w:rsidR="002529B4" w:rsidRPr="002A64D6">
        <w:rPr>
          <w:b w:val="0"/>
          <w:bCs w:val="0"/>
          <w:spacing w:val="-1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202</w:t>
      </w:r>
      <w:r w:rsidR="00D22EC7" w:rsidRPr="002A64D6">
        <w:rPr>
          <w:b w:val="0"/>
          <w:bCs w:val="0"/>
          <w:sz w:val="22"/>
          <w:szCs w:val="22"/>
        </w:rPr>
        <w:t>4</w:t>
      </w:r>
      <w:r w:rsidR="002529B4" w:rsidRPr="002A64D6">
        <w:rPr>
          <w:b w:val="0"/>
          <w:bCs w:val="0"/>
          <w:sz w:val="22"/>
          <w:szCs w:val="22"/>
        </w:rPr>
        <w:t>.</w:t>
      </w:r>
    </w:p>
    <w:p w14:paraId="000C570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741331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411229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06979D6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973E54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200C20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2215088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31B22C9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3124765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34C4E405" w14:textId="1B142FA1" w:rsidR="002A64D6" w:rsidRPr="000C0315" w:rsidRDefault="0061135C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VITOR RODRIGUES DE ALMEIDA</w:t>
      </w:r>
    </w:p>
    <w:p w14:paraId="006C5442" w14:textId="17CF1835" w:rsidR="002A64D6" w:rsidRPr="000C0315" w:rsidRDefault="0061135C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Secretário Municipal de Infraestrutura</w:t>
      </w:r>
    </w:p>
    <w:p w14:paraId="490574D9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4F49C761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5C72BE56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38FCCAE0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54FFC0DA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72963DFD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08D5081A" w14:textId="77777777" w:rsidR="002A64D6" w:rsidRDefault="002A64D6" w:rsidP="002A64D6">
      <w:pPr>
        <w:pStyle w:val="Corpodetexto"/>
        <w:rPr>
          <w:sz w:val="24"/>
          <w:szCs w:val="24"/>
        </w:rPr>
      </w:pPr>
    </w:p>
    <w:p w14:paraId="1351289B" w14:textId="796FB608" w:rsidR="002A64D6" w:rsidRPr="00D22EC7" w:rsidRDefault="002A64D6" w:rsidP="002A64D6">
      <w:pPr>
        <w:jc w:val="center"/>
        <w:rPr>
          <w:b/>
        </w:rPr>
      </w:pPr>
    </w:p>
    <w:p w14:paraId="54602E86" w14:textId="77777777" w:rsidR="002529B4" w:rsidRDefault="002529B4" w:rsidP="002529B4">
      <w:pPr>
        <w:pStyle w:val="Corpodetexto"/>
        <w:spacing w:before="213"/>
        <w:ind w:left="1538" w:right="1556"/>
        <w:jc w:val="center"/>
        <w:rPr>
          <w:sz w:val="24"/>
          <w:szCs w:val="24"/>
        </w:rPr>
      </w:pPr>
    </w:p>
    <w:p w14:paraId="11393D13" w14:textId="77777777" w:rsidR="002A64D6" w:rsidRDefault="002A64D6" w:rsidP="002A64D6">
      <w:pPr>
        <w:pStyle w:val="Corpodetexto"/>
        <w:spacing w:before="213"/>
        <w:ind w:right="1556"/>
        <w:rPr>
          <w:sz w:val="24"/>
          <w:szCs w:val="24"/>
        </w:rPr>
      </w:pPr>
    </w:p>
    <w:sectPr w:rsidR="002A64D6" w:rsidSect="00C77A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22D8E" w14:textId="77777777" w:rsidR="00895C3E" w:rsidRDefault="00895C3E">
      <w:r>
        <w:separator/>
      </w:r>
    </w:p>
  </w:endnote>
  <w:endnote w:type="continuationSeparator" w:id="0">
    <w:p w14:paraId="1C54D9CB" w14:textId="77777777" w:rsidR="00895C3E" w:rsidRDefault="008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2F07" w14:textId="77777777" w:rsidR="00895C3E" w:rsidRDefault="004A3EF1" w:rsidP="006D4C3D">
    <w:pPr>
      <w:pStyle w:val="Rodap"/>
    </w:pPr>
    <w:r>
      <w:pict w14:anchorId="6AEC87E5">
        <v:rect id="_x0000_i1026" style="width:420.25pt;height:3pt" o:hralign="center" o:hrstd="t" o:hrnoshade="t" o:hr="t" fillcolor="black" stroked="f"/>
      </w:pict>
    </w:r>
  </w:p>
  <w:p w14:paraId="5950E29A" w14:textId="77777777" w:rsidR="00895C3E" w:rsidRDefault="00895C3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F121D97" w14:textId="77777777" w:rsidR="00895C3E" w:rsidRPr="00A13DA9" w:rsidRDefault="00895C3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3A72" w14:textId="77777777" w:rsidR="00895C3E" w:rsidRDefault="00895C3E">
      <w:r>
        <w:separator/>
      </w:r>
    </w:p>
  </w:footnote>
  <w:footnote w:type="continuationSeparator" w:id="0">
    <w:p w14:paraId="24C6D587" w14:textId="77777777" w:rsidR="00895C3E" w:rsidRDefault="008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0E5" w14:textId="77777777" w:rsidR="00895C3E" w:rsidRDefault="00895C3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069588" wp14:editId="6DA3592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F5440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0A0FD3AD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4C0A5AC" w14:textId="5DA08B54" w:rsidR="004A3EF1" w:rsidRPr="001815D6" w:rsidRDefault="00895C3E" w:rsidP="004A3EF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4A3EF1">
      <w:rPr>
        <w:rFonts w:ascii="Poster Bodoni" w:hAnsi="Poster Bodoni" w:cs="Poster Bodoni"/>
        <w:b/>
        <w:bCs/>
        <w:sz w:val="22"/>
        <w:szCs w:val="22"/>
      </w:rPr>
      <w:t xml:space="preserve">25 </w:t>
    </w:r>
    <w:r w:rsidRPr="001815D6">
      <w:rPr>
        <w:rFonts w:ascii="Poster Bodoni" w:hAnsi="Poster Bodoni" w:cs="Poster Bodoni"/>
        <w:b/>
        <w:bCs/>
        <w:sz w:val="22"/>
        <w:szCs w:val="22"/>
      </w:rPr>
      <w:t>A 20</w:t>
    </w:r>
    <w:r w:rsidR="004A3EF1">
      <w:rPr>
        <w:rFonts w:ascii="Poster Bodoni" w:hAnsi="Poster Bodoni" w:cs="Poster Bodoni"/>
        <w:b/>
        <w:bCs/>
        <w:sz w:val="22"/>
        <w:szCs w:val="22"/>
      </w:rPr>
      <w:t>28</w:t>
    </w:r>
  </w:p>
  <w:p w14:paraId="34CA7BB3" w14:textId="77777777" w:rsidR="00895C3E" w:rsidRDefault="00895C3E" w:rsidP="00A13DA9">
    <w:pPr>
      <w:pStyle w:val="Cabealho"/>
      <w:tabs>
        <w:tab w:val="left" w:pos="3525"/>
      </w:tabs>
    </w:pPr>
    <w:r>
      <w:tab/>
    </w:r>
  </w:p>
  <w:p w14:paraId="56F8429D" w14:textId="77777777" w:rsidR="00895C3E" w:rsidRDefault="004A3EF1" w:rsidP="00A13DA9">
    <w:pPr>
      <w:pStyle w:val="Cabealho"/>
      <w:tabs>
        <w:tab w:val="left" w:pos="3525"/>
      </w:tabs>
    </w:pPr>
    <w:r>
      <w:pict w14:anchorId="2EA0D3DD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2B3E2766"/>
    <w:multiLevelType w:val="multilevel"/>
    <w:tmpl w:val="7E5AE20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17">
    <w:nsid w:val="4AD350A0"/>
    <w:multiLevelType w:val="multilevel"/>
    <w:tmpl w:val="3C4463F4"/>
    <w:lvl w:ilvl="0">
      <w:start w:val="1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7" w:hanging="4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1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95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8" w:hanging="209"/>
      </w:pPr>
      <w:rPr>
        <w:rFonts w:hint="default"/>
        <w:lang w:val="pt-PT" w:eastAsia="en-US" w:bidi="ar-SA"/>
      </w:rPr>
    </w:lvl>
  </w:abstractNum>
  <w:abstractNum w:abstractNumId="18">
    <w:nsid w:val="4DFA3037"/>
    <w:multiLevelType w:val="hybridMultilevel"/>
    <w:tmpl w:val="5498C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13B6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0035"/>
    <w:rsid w:val="00172F04"/>
    <w:rsid w:val="001747C5"/>
    <w:rsid w:val="00176A9D"/>
    <w:rsid w:val="001815D6"/>
    <w:rsid w:val="00181B0D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362B3"/>
    <w:rsid w:val="00241008"/>
    <w:rsid w:val="00251946"/>
    <w:rsid w:val="002529B4"/>
    <w:rsid w:val="00254592"/>
    <w:rsid w:val="00255AE3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A64D6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2B4"/>
    <w:rsid w:val="003E4BF5"/>
    <w:rsid w:val="003E5DE9"/>
    <w:rsid w:val="003E6AD7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A3EF1"/>
    <w:rsid w:val="004B0D1C"/>
    <w:rsid w:val="004B3BCB"/>
    <w:rsid w:val="004B783C"/>
    <w:rsid w:val="004C0791"/>
    <w:rsid w:val="004C220C"/>
    <w:rsid w:val="004C2F1A"/>
    <w:rsid w:val="004D033B"/>
    <w:rsid w:val="004D49B3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7E1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149"/>
    <w:rsid w:val="0061135C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3E8E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159F"/>
    <w:rsid w:val="007829C9"/>
    <w:rsid w:val="0078553A"/>
    <w:rsid w:val="0079216F"/>
    <w:rsid w:val="007962F3"/>
    <w:rsid w:val="007A4DBB"/>
    <w:rsid w:val="007A5CBF"/>
    <w:rsid w:val="007A636A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F37"/>
    <w:rsid w:val="00862ED6"/>
    <w:rsid w:val="00863C10"/>
    <w:rsid w:val="00864C2A"/>
    <w:rsid w:val="00871783"/>
    <w:rsid w:val="00872DB7"/>
    <w:rsid w:val="00873F27"/>
    <w:rsid w:val="00874D2A"/>
    <w:rsid w:val="00875DF1"/>
    <w:rsid w:val="00876854"/>
    <w:rsid w:val="00877DEB"/>
    <w:rsid w:val="008817B7"/>
    <w:rsid w:val="00885647"/>
    <w:rsid w:val="00887181"/>
    <w:rsid w:val="00895244"/>
    <w:rsid w:val="00895C3E"/>
    <w:rsid w:val="008A001D"/>
    <w:rsid w:val="008A011F"/>
    <w:rsid w:val="008A138F"/>
    <w:rsid w:val="008A1F6C"/>
    <w:rsid w:val="008A3354"/>
    <w:rsid w:val="008A5BF1"/>
    <w:rsid w:val="008B371C"/>
    <w:rsid w:val="008B3B90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3E44"/>
    <w:rsid w:val="00937377"/>
    <w:rsid w:val="00943685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043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26155"/>
    <w:rsid w:val="00A30D90"/>
    <w:rsid w:val="00A45B9D"/>
    <w:rsid w:val="00A47367"/>
    <w:rsid w:val="00A47EA4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3BB7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4F10"/>
    <w:rsid w:val="00B76964"/>
    <w:rsid w:val="00B7768C"/>
    <w:rsid w:val="00B82408"/>
    <w:rsid w:val="00B83DAA"/>
    <w:rsid w:val="00B86347"/>
    <w:rsid w:val="00B8639E"/>
    <w:rsid w:val="00B86B59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4A4E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169E"/>
    <w:rsid w:val="00C41BCC"/>
    <w:rsid w:val="00C444FE"/>
    <w:rsid w:val="00C5047A"/>
    <w:rsid w:val="00C50FD4"/>
    <w:rsid w:val="00C51D27"/>
    <w:rsid w:val="00C52018"/>
    <w:rsid w:val="00C52BC5"/>
    <w:rsid w:val="00C55807"/>
    <w:rsid w:val="00C6042F"/>
    <w:rsid w:val="00C666D4"/>
    <w:rsid w:val="00C67B16"/>
    <w:rsid w:val="00C73465"/>
    <w:rsid w:val="00C75E4C"/>
    <w:rsid w:val="00C763F1"/>
    <w:rsid w:val="00C77861"/>
    <w:rsid w:val="00C77ADC"/>
    <w:rsid w:val="00C8007E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E7473"/>
    <w:rsid w:val="00CF0A46"/>
    <w:rsid w:val="00CF2694"/>
    <w:rsid w:val="00CF55B3"/>
    <w:rsid w:val="00D0454F"/>
    <w:rsid w:val="00D1152C"/>
    <w:rsid w:val="00D152B4"/>
    <w:rsid w:val="00D21784"/>
    <w:rsid w:val="00D22221"/>
    <w:rsid w:val="00D22EC7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22E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3228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9F8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77199"/>
    <w:rsid w:val="00E8055C"/>
    <w:rsid w:val="00E83553"/>
    <w:rsid w:val="00E84D13"/>
    <w:rsid w:val="00E85CDD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8C5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4994"/>
    <w:rsid w:val="00F15115"/>
    <w:rsid w:val="00F21FB2"/>
    <w:rsid w:val="00F2486B"/>
    <w:rsid w:val="00F27FEF"/>
    <w:rsid w:val="00F31579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D76E2"/>
    <w:rsid w:val="00FE1A1B"/>
    <w:rsid w:val="00FE31FE"/>
    <w:rsid w:val="00FF09AC"/>
    <w:rsid w:val="00FF1B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1"/>
    <o:shapelayout v:ext="edit">
      <o:idmap v:ext="edit" data="1"/>
    </o:shapelayout>
  </w:shapeDefaults>
  <w:decimalSymbol w:val=","/>
  <w:listSeparator w:val=";"/>
  <w14:docId w14:val="4AB3E2E5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fontstyle01">
    <w:name w:val="fontstyle01"/>
    <w:rsid w:val="00252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787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7</cp:revision>
  <cp:lastPrinted>2025-02-21T20:50:00Z</cp:lastPrinted>
  <dcterms:created xsi:type="dcterms:W3CDTF">2024-04-11T19:07:00Z</dcterms:created>
  <dcterms:modified xsi:type="dcterms:W3CDTF">2025-02-21T20:51:00Z</dcterms:modified>
</cp:coreProperties>
</file>