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1C0B5" w14:textId="77777777" w:rsidR="002529B4" w:rsidRPr="002A64D6" w:rsidRDefault="002529B4" w:rsidP="002529B4">
      <w:pPr>
        <w:pStyle w:val="Ttulo2"/>
        <w:ind w:left="1538" w:right="1556"/>
        <w:jc w:val="center"/>
        <w:rPr>
          <w:sz w:val="22"/>
          <w:szCs w:val="22"/>
        </w:rPr>
      </w:pPr>
      <w:r w:rsidRPr="002A64D6">
        <w:rPr>
          <w:sz w:val="22"/>
          <w:szCs w:val="22"/>
        </w:rPr>
        <w:t>ESTUDO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TÉCNICO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PRELIMINAR</w:t>
      </w:r>
    </w:p>
    <w:p w14:paraId="7EBAC25B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5DBF1EC2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080BE281" w14:textId="6FB242B4" w:rsidR="002529B4" w:rsidRPr="002A64D6" w:rsidRDefault="002529B4" w:rsidP="00A47EA4">
      <w:pPr>
        <w:pStyle w:val="PargrafodaLista"/>
        <w:widowControl w:val="0"/>
        <w:numPr>
          <w:ilvl w:val="0"/>
          <w:numId w:val="2"/>
        </w:numPr>
        <w:tabs>
          <w:tab w:val="left" w:pos="304"/>
        </w:tabs>
        <w:autoSpaceDE w:val="0"/>
        <w:autoSpaceDN w:val="0"/>
        <w:rPr>
          <w:b/>
          <w:sz w:val="22"/>
          <w:szCs w:val="22"/>
        </w:rPr>
      </w:pPr>
      <w:r w:rsidRPr="002A64D6">
        <w:rPr>
          <w:b/>
          <w:sz w:val="22"/>
          <w:szCs w:val="22"/>
        </w:rPr>
        <w:t>-</w:t>
      </w:r>
      <w:r w:rsidR="00D722EE">
        <w:rPr>
          <w:b/>
          <w:spacing w:val="-2"/>
          <w:sz w:val="22"/>
          <w:szCs w:val="22"/>
        </w:rPr>
        <w:t xml:space="preserve"> OBJETO</w:t>
      </w:r>
    </w:p>
    <w:p w14:paraId="165621BC" w14:textId="1F61B905" w:rsidR="002529B4" w:rsidRPr="00D722EE" w:rsidRDefault="002529B4" w:rsidP="00A47EA4">
      <w:pPr>
        <w:pStyle w:val="PargrafodaLista"/>
        <w:widowControl w:val="0"/>
        <w:numPr>
          <w:ilvl w:val="1"/>
          <w:numId w:val="3"/>
        </w:numPr>
        <w:tabs>
          <w:tab w:val="left" w:pos="894"/>
        </w:tabs>
        <w:autoSpaceDE w:val="0"/>
        <w:autoSpaceDN w:val="0"/>
        <w:spacing w:before="137"/>
        <w:ind w:hanging="433"/>
        <w:jc w:val="both"/>
        <w:rPr>
          <w:sz w:val="22"/>
          <w:szCs w:val="22"/>
        </w:rPr>
      </w:pPr>
      <w:r w:rsidRPr="00C77ADC">
        <w:rPr>
          <w:sz w:val="22"/>
          <w:szCs w:val="22"/>
        </w:rPr>
        <w:t>O objeto desse estudo técnico preliminar é para o</w:t>
      </w:r>
      <w:r w:rsidR="00BB58F4">
        <w:rPr>
          <w:sz w:val="22"/>
          <w:szCs w:val="22"/>
        </w:rPr>
        <w:t xml:space="preserve"> </w:t>
      </w:r>
      <w:r w:rsidR="00BB58F4" w:rsidRPr="00BB58F4">
        <w:rPr>
          <w:b/>
          <w:sz w:val="22"/>
          <w:szCs w:val="22"/>
        </w:rPr>
        <w:t>“</w:t>
      </w:r>
      <w:r w:rsidR="00BB58F4" w:rsidRPr="00BB58F4">
        <w:rPr>
          <w:b/>
        </w:rPr>
        <w:t>CONTRATAÇÃO DE EMPRESA PARA FUTURA E EVENTUAL AQUISIÇÃO DE PEIXES, DESTINADO A DOAÇÃO ÀS FAMÍLIAS EM SITUAÇÃO DE VULNERABILIDADE (CADASTRADAS NO “CADÚNICO”) NO MUNICÍPIO DE SÃO PEDRO DA CIPA-MT”</w:t>
      </w:r>
      <w:r w:rsidR="00C77ADC" w:rsidRPr="00C77ADC">
        <w:rPr>
          <w:b/>
          <w:bCs/>
          <w:sz w:val="22"/>
          <w:szCs w:val="22"/>
        </w:rPr>
        <w:t>,</w:t>
      </w:r>
      <w:r w:rsidR="00C77ADC" w:rsidRPr="00C77ADC">
        <w:rPr>
          <w:bCs/>
          <w:sz w:val="22"/>
          <w:szCs w:val="22"/>
        </w:rPr>
        <w:t xml:space="preserve"> </w:t>
      </w:r>
      <w:r w:rsidRPr="00C77ADC">
        <w:rPr>
          <w:bCs/>
          <w:sz w:val="22"/>
          <w:szCs w:val="22"/>
        </w:rPr>
        <w:t xml:space="preserve">em conformidade ao </w:t>
      </w:r>
      <w:r w:rsidRPr="00C77ADC">
        <w:rPr>
          <w:bCs/>
          <w:i/>
          <w:iCs/>
          <w:sz w:val="22"/>
          <w:szCs w:val="22"/>
        </w:rPr>
        <w:t>“caput”</w:t>
      </w:r>
      <w:r w:rsidR="00C77ADC">
        <w:rPr>
          <w:bCs/>
          <w:sz w:val="22"/>
          <w:szCs w:val="22"/>
        </w:rPr>
        <w:t xml:space="preserve"> do art. 75, inciso </w:t>
      </w:r>
      <w:r w:rsidR="00FF20F8">
        <w:rPr>
          <w:bCs/>
          <w:sz w:val="22"/>
          <w:szCs w:val="22"/>
        </w:rPr>
        <w:t>I</w:t>
      </w:r>
      <w:r w:rsidR="00C77ADC">
        <w:rPr>
          <w:bCs/>
          <w:sz w:val="22"/>
          <w:szCs w:val="22"/>
        </w:rPr>
        <w:t xml:space="preserve">I </w:t>
      </w:r>
      <w:r w:rsidRPr="00C77ADC">
        <w:rPr>
          <w:bCs/>
          <w:sz w:val="22"/>
          <w:szCs w:val="22"/>
        </w:rPr>
        <w:t xml:space="preserve">da Lei 14.133/2021. </w:t>
      </w:r>
    </w:p>
    <w:p w14:paraId="6590FA29" w14:textId="77777777" w:rsidR="00D722EE" w:rsidRPr="00D722EE" w:rsidRDefault="00D722EE" w:rsidP="00D722EE">
      <w:pPr>
        <w:widowControl w:val="0"/>
        <w:tabs>
          <w:tab w:val="left" w:pos="894"/>
        </w:tabs>
        <w:autoSpaceDE w:val="0"/>
        <w:autoSpaceDN w:val="0"/>
        <w:spacing w:before="137"/>
        <w:ind w:left="461"/>
        <w:jc w:val="both"/>
        <w:rPr>
          <w:sz w:val="22"/>
          <w:szCs w:val="22"/>
        </w:rPr>
      </w:pPr>
    </w:p>
    <w:p w14:paraId="6C387852" w14:textId="680E45A2" w:rsidR="00D722EE" w:rsidRDefault="00D722EE" w:rsidP="00D722EE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DESCRIÇÃO DA NECESSIDADE</w:t>
      </w:r>
    </w:p>
    <w:p w14:paraId="4E3C3607" w14:textId="77777777" w:rsidR="0078159F" w:rsidRPr="0078159F" w:rsidRDefault="0078159F" w:rsidP="0078159F"/>
    <w:p w14:paraId="47FD4734" w14:textId="765FB039" w:rsidR="00BB58F4" w:rsidRPr="00BB58F4" w:rsidRDefault="00BB58F4" w:rsidP="00D722EE">
      <w:pPr>
        <w:numPr>
          <w:ilvl w:val="1"/>
          <w:numId w:val="2"/>
        </w:numPr>
        <w:jc w:val="both"/>
        <w:rPr>
          <w:sz w:val="22"/>
          <w:szCs w:val="22"/>
        </w:rPr>
      </w:pPr>
      <w:r>
        <w:t>A compra e distribuição de peixe durante a Semana Santa são práticas comumente associadas a tradições culturais e religiosas. A Semana Santa é um período significativo para muitas comunidades religiosas, especialmente para os cristãos. Durante esse tempo, é comum seguir tradições que incluem a abstinência de carne vermelha, promovendo a escolha de peixes como alternativa. A distribuição de peixe, especialmente para aqueles que enfrentam dificuldades econômicas, pode ser uma expressão de solidariedade e caridade durante um período religioso que enfatiza a compaixão e o cuidado com os outros.</w:t>
      </w:r>
    </w:p>
    <w:p w14:paraId="29B2E824" w14:textId="4081909C" w:rsidR="00D722EE" w:rsidRPr="008B3B90" w:rsidRDefault="00BB58F4" w:rsidP="00D722EE">
      <w:pPr>
        <w:numPr>
          <w:ilvl w:val="1"/>
          <w:numId w:val="2"/>
        </w:numPr>
        <w:jc w:val="both"/>
        <w:rPr>
          <w:sz w:val="22"/>
          <w:szCs w:val="22"/>
        </w:rPr>
      </w:pPr>
      <w:r>
        <w:t xml:space="preserve">Além disso, cumpre ressaltar que a distribuição do peixe em razão da Semana Santa se consolidou uma tradição para as famílias carentes de São Pedro da </w:t>
      </w:r>
      <w:proofErr w:type="spellStart"/>
      <w:r>
        <w:t>Cipa</w:t>
      </w:r>
      <w:proofErr w:type="spellEnd"/>
      <w:r>
        <w:t xml:space="preserve">/MT, já que, essa prática vem acontecendo há tempos pelas Administrações anteriores. Para a atual Gestão, é essencial que as pessoas mais carentes do município tenham a chance de cumprir as tradições e alimentar-se de peixes na Sexta-Feira Santa. Enfim, justifica-se a distribuição de peixes nessa época do ano, pois é fundamental para fortalecimento das tradições dos munícipes. </w:t>
      </w:r>
    </w:p>
    <w:p w14:paraId="76F19490" w14:textId="77777777" w:rsidR="0078159F" w:rsidRPr="002A64D6" w:rsidRDefault="0078159F" w:rsidP="008B3B90">
      <w:pPr>
        <w:pStyle w:val="Corpodetexto"/>
        <w:spacing w:before="139" w:line="360" w:lineRule="auto"/>
        <w:ind w:right="107"/>
        <w:rPr>
          <w:sz w:val="22"/>
          <w:szCs w:val="22"/>
        </w:rPr>
      </w:pPr>
    </w:p>
    <w:p w14:paraId="27DE4AFB" w14:textId="77777777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PREVISÃO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NO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PLANO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ANUAL</w:t>
      </w:r>
    </w:p>
    <w:p w14:paraId="2CDD5957" w14:textId="77777777" w:rsidR="0078159F" w:rsidRPr="0078159F" w:rsidRDefault="0078159F" w:rsidP="0078159F"/>
    <w:p w14:paraId="191799C9" w14:textId="39351A81" w:rsidR="002529B4" w:rsidRPr="00CB0107" w:rsidRDefault="0078159F" w:rsidP="00331C61">
      <w:pPr>
        <w:numPr>
          <w:ilvl w:val="1"/>
          <w:numId w:val="2"/>
        </w:numPr>
        <w:spacing w:before="1"/>
        <w:jc w:val="both"/>
        <w:rPr>
          <w:sz w:val="22"/>
          <w:szCs w:val="22"/>
        </w:rPr>
      </w:pPr>
      <w:r>
        <w:t>O presente Estudo Técnico Preliminar possui fulcro na Lei Orçamentária Anual, que prevê despesas com a aquisição de material</w:t>
      </w:r>
      <w:r w:rsidR="00BB58F4">
        <w:t>/bem ou serviço para distribuição gratuita</w:t>
      </w:r>
      <w:r w:rsidR="00CB0107">
        <w:t xml:space="preserve">, para as famílias em situação de vulnerabilidade. </w:t>
      </w:r>
    </w:p>
    <w:p w14:paraId="4546A785" w14:textId="77777777" w:rsidR="00CB0107" w:rsidRPr="00BB58F4" w:rsidRDefault="00CB0107" w:rsidP="00CB0107">
      <w:pPr>
        <w:spacing w:before="1"/>
        <w:ind w:left="997"/>
        <w:jc w:val="both"/>
        <w:rPr>
          <w:sz w:val="22"/>
          <w:szCs w:val="22"/>
        </w:rPr>
      </w:pPr>
    </w:p>
    <w:p w14:paraId="39738385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 REQUISITOS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273AD692" w14:textId="108520EF" w:rsidR="0078159F" w:rsidRPr="0078159F" w:rsidRDefault="00587E1E" w:rsidP="0078159F">
      <w:pPr>
        <w:pStyle w:val="PargrafodaLista"/>
        <w:widowControl w:val="0"/>
        <w:numPr>
          <w:ilvl w:val="1"/>
          <w:numId w:val="2"/>
        </w:numPr>
        <w:tabs>
          <w:tab w:val="left" w:pos="998"/>
        </w:tabs>
        <w:autoSpaceDE w:val="0"/>
        <w:autoSpaceDN w:val="0"/>
        <w:spacing w:before="137"/>
        <w:ind w:hanging="469"/>
        <w:jc w:val="both"/>
        <w:rPr>
          <w:sz w:val="22"/>
          <w:szCs w:val="22"/>
        </w:rPr>
      </w:pPr>
      <w:r>
        <w:t xml:space="preserve"> </w:t>
      </w:r>
      <w:r w:rsidR="0078159F">
        <w:t xml:space="preserve">O fornecedor deverá entregar as mercadorias de acordo com as necessidades da Secretaria Municipal de </w:t>
      </w:r>
      <w:r w:rsidR="00CB0107">
        <w:t>Assistência Social</w:t>
      </w:r>
      <w:r w:rsidR="0078159F">
        <w:t>, após confirmação do recebimento da solicitação do Departamento de Compras.</w:t>
      </w:r>
    </w:p>
    <w:p w14:paraId="5932867B" w14:textId="7B857BC1" w:rsidR="0078159F" w:rsidRPr="00CB0107" w:rsidRDefault="00CB0107" w:rsidP="0078159F">
      <w:pPr>
        <w:pStyle w:val="PargrafodaLista"/>
        <w:widowControl w:val="0"/>
        <w:numPr>
          <w:ilvl w:val="1"/>
          <w:numId w:val="2"/>
        </w:numPr>
        <w:tabs>
          <w:tab w:val="left" w:pos="998"/>
        </w:tabs>
        <w:autoSpaceDE w:val="0"/>
        <w:autoSpaceDN w:val="0"/>
        <w:spacing w:before="137"/>
        <w:ind w:hanging="469"/>
        <w:jc w:val="both"/>
        <w:rPr>
          <w:sz w:val="22"/>
          <w:szCs w:val="22"/>
        </w:rPr>
      </w:pPr>
      <w:r>
        <w:t>Os peixes fornecidos devem atender a padrões rigorosos de qualidade e segurança alimentar para garantir que os alimentos sejam seguros para o consumo.</w:t>
      </w:r>
    </w:p>
    <w:p w14:paraId="4AE98DD4" w14:textId="2EB5697E" w:rsidR="00CB0107" w:rsidRPr="0078159F" w:rsidRDefault="00CB0107" w:rsidP="0078159F">
      <w:pPr>
        <w:pStyle w:val="PargrafodaLista"/>
        <w:widowControl w:val="0"/>
        <w:numPr>
          <w:ilvl w:val="1"/>
          <w:numId w:val="2"/>
        </w:numPr>
        <w:tabs>
          <w:tab w:val="left" w:pos="998"/>
        </w:tabs>
        <w:autoSpaceDE w:val="0"/>
        <w:autoSpaceDN w:val="0"/>
        <w:spacing w:before="137"/>
        <w:ind w:hanging="469"/>
        <w:jc w:val="both"/>
        <w:rPr>
          <w:sz w:val="22"/>
          <w:szCs w:val="22"/>
        </w:rPr>
      </w:pPr>
      <w:r>
        <w:lastRenderedPageBreak/>
        <w:t>A empresa deve demonstrar capacidade para fornecer as quantidades necessárias de peixes de acordo com os prazos estipulados. Deve haver uma estratégia eficaz de logística e distribuição para garantir que os peixes cheguem de forma segura e oportuna aos beneficiários.</w:t>
      </w:r>
    </w:p>
    <w:p w14:paraId="690E7088" w14:textId="77777777" w:rsidR="0078159F" w:rsidRPr="0078159F" w:rsidRDefault="0078159F" w:rsidP="0078159F">
      <w:pPr>
        <w:widowControl w:val="0"/>
        <w:tabs>
          <w:tab w:val="left" w:pos="998"/>
        </w:tabs>
        <w:autoSpaceDE w:val="0"/>
        <w:autoSpaceDN w:val="0"/>
        <w:spacing w:before="137"/>
        <w:ind w:left="528"/>
        <w:jc w:val="both"/>
        <w:rPr>
          <w:sz w:val="22"/>
          <w:szCs w:val="22"/>
        </w:rPr>
      </w:pPr>
    </w:p>
    <w:p w14:paraId="1B6329FF" w14:textId="7FB7C63A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="00A26155">
        <w:rPr>
          <w:sz w:val="22"/>
          <w:szCs w:val="22"/>
        </w:rPr>
        <w:t>LEVANTAMENTO DE MERCADO:</w:t>
      </w:r>
    </w:p>
    <w:p w14:paraId="483CAB09" w14:textId="77777777" w:rsidR="00A26155" w:rsidRPr="00A26155" w:rsidRDefault="00A26155" w:rsidP="00A26155"/>
    <w:p w14:paraId="3DA0B7A7" w14:textId="48F1A33F" w:rsidR="00E77199" w:rsidRDefault="007644AA" w:rsidP="007644AA">
      <w:pPr>
        <w:pStyle w:val="Corpodetexto"/>
        <w:ind w:left="360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 xml:space="preserve">  5.1</w:t>
      </w:r>
      <w:r w:rsidR="00E77199">
        <w:rPr>
          <w:b w:val="0"/>
          <w:sz w:val="22"/>
          <w:szCs w:val="22"/>
        </w:rPr>
        <w:t xml:space="preserve"> </w:t>
      </w:r>
      <w:r w:rsidR="00CB0107" w:rsidRPr="007644AA">
        <w:rPr>
          <w:b w:val="0"/>
          <w:sz w:val="24"/>
          <w:szCs w:val="24"/>
        </w:rPr>
        <w:t xml:space="preserve">Considerando as ponderações lançadas no DFD sobre as soluções disponíveis, e agora focando nas soluções específicas viáveis, considerando a estimativa dos </w:t>
      </w:r>
      <w:r w:rsidRPr="007644AA">
        <w:rPr>
          <w:b w:val="0"/>
          <w:sz w:val="24"/>
          <w:szCs w:val="24"/>
        </w:rPr>
        <w:t>itens</w:t>
      </w:r>
      <w:r w:rsidR="00CB0107" w:rsidRPr="007644AA">
        <w:rPr>
          <w:b w:val="0"/>
          <w:sz w:val="24"/>
          <w:szCs w:val="24"/>
        </w:rPr>
        <w:t xml:space="preserve"> que se pretende </w:t>
      </w:r>
      <w:r w:rsidRPr="007644AA">
        <w:rPr>
          <w:b w:val="0"/>
          <w:sz w:val="24"/>
          <w:szCs w:val="24"/>
        </w:rPr>
        <w:t>adquirir</w:t>
      </w:r>
      <w:r w:rsidR="00CB0107" w:rsidRPr="007644AA">
        <w:rPr>
          <w:b w:val="0"/>
          <w:sz w:val="24"/>
          <w:szCs w:val="24"/>
        </w:rPr>
        <w:t xml:space="preserve"> e as informações </w:t>
      </w:r>
      <w:r w:rsidRPr="007644AA">
        <w:rPr>
          <w:b w:val="0"/>
          <w:sz w:val="24"/>
          <w:szCs w:val="24"/>
        </w:rPr>
        <w:t xml:space="preserve">colacionadas na cesta de preços, </w:t>
      </w:r>
      <w:r w:rsidR="00CB0107" w:rsidRPr="007644AA">
        <w:rPr>
          <w:b w:val="0"/>
          <w:sz w:val="24"/>
          <w:szCs w:val="24"/>
        </w:rPr>
        <w:t>vislumbram-se as seguintes alternativas para melhor solução:</w:t>
      </w:r>
    </w:p>
    <w:p w14:paraId="6D35F760" w14:textId="77777777" w:rsidR="007644AA" w:rsidRDefault="007644AA" w:rsidP="007644AA">
      <w:pPr>
        <w:pStyle w:val="Corpodetexto"/>
        <w:ind w:left="360"/>
        <w:rPr>
          <w:b w:val="0"/>
          <w:sz w:val="24"/>
          <w:szCs w:val="24"/>
        </w:rPr>
      </w:pPr>
    </w:p>
    <w:p w14:paraId="791076DC" w14:textId="4D5C6906" w:rsidR="007644AA" w:rsidRDefault="007644AA" w:rsidP="007644AA">
      <w:pPr>
        <w:pStyle w:val="Corpodetexto"/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5.1.1 </w:t>
      </w:r>
      <w:r w:rsidRPr="007644AA">
        <w:rPr>
          <w:b w:val="0"/>
          <w:sz w:val="24"/>
          <w:szCs w:val="24"/>
        </w:rPr>
        <w:t>Alternativas possíveis e viáveis:</w:t>
      </w:r>
    </w:p>
    <w:p w14:paraId="4A6002CE" w14:textId="77777777" w:rsidR="007644AA" w:rsidRDefault="007644AA" w:rsidP="007644AA">
      <w:pPr>
        <w:pStyle w:val="Corpodetexto"/>
        <w:ind w:left="360"/>
        <w:rPr>
          <w:b w:val="0"/>
          <w:sz w:val="24"/>
          <w:szCs w:val="24"/>
        </w:rPr>
      </w:pPr>
    </w:p>
    <w:p w14:paraId="60586616" w14:textId="426D2C11" w:rsidR="007644AA" w:rsidRDefault="007644AA" w:rsidP="007644AA">
      <w:pPr>
        <w:pStyle w:val="Corpodetexto"/>
        <w:numPr>
          <w:ilvl w:val="0"/>
          <w:numId w:val="5"/>
        </w:numPr>
        <w:rPr>
          <w:b w:val="0"/>
          <w:sz w:val="24"/>
          <w:szCs w:val="24"/>
        </w:rPr>
      </w:pPr>
      <w:r w:rsidRPr="007644AA">
        <w:rPr>
          <w:b w:val="0"/>
          <w:sz w:val="24"/>
          <w:szCs w:val="24"/>
        </w:rPr>
        <w:t xml:space="preserve">PEIXE, inteiros pesando entre </w:t>
      </w:r>
      <w:r>
        <w:rPr>
          <w:b w:val="0"/>
          <w:sz w:val="24"/>
          <w:szCs w:val="24"/>
        </w:rPr>
        <w:t>1,500g e 2</w:t>
      </w:r>
      <w:r w:rsidRPr="007644AA">
        <w:rPr>
          <w:b w:val="0"/>
          <w:sz w:val="24"/>
          <w:szCs w:val="24"/>
        </w:rPr>
        <w:t>000g;</w:t>
      </w:r>
    </w:p>
    <w:p w14:paraId="7A9B0D30" w14:textId="77777777" w:rsidR="007644AA" w:rsidRDefault="007644AA" w:rsidP="007644AA">
      <w:pPr>
        <w:pStyle w:val="Corpodetexto"/>
        <w:ind w:left="720"/>
        <w:rPr>
          <w:b w:val="0"/>
          <w:sz w:val="24"/>
          <w:szCs w:val="24"/>
        </w:rPr>
      </w:pPr>
    </w:p>
    <w:p w14:paraId="32011015" w14:textId="70EDC549" w:rsidR="007644AA" w:rsidRPr="007644AA" w:rsidRDefault="007644AA" w:rsidP="007644AA">
      <w:pPr>
        <w:pStyle w:val="Corpodetex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Pr="007644AA">
        <w:rPr>
          <w:b w:val="0"/>
          <w:sz w:val="24"/>
          <w:szCs w:val="24"/>
        </w:rPr>
        <w:t xml:space="preserve">5.2.1. Após levantamento de mercado e sua análise, considerando a intenção de </w:t>
      </w:r>
      <w:r>
        <w:rPr>
          <w:b w:val="0"/>
          <w:sz w:val="24"/>
          <w:szCs w:val="24"/>
        </w:rPr>
        <w:t>distribuição de peixes contendo até 2,000 kg</w:t>
      </w:r>
      <w:r w:rsidRPr="007644AA">
        <w:rPr>
          <w:b w:val="0"/>
          <w:sz w:val="24"/>
          <w:szCs w:val="24"/>
        </w:rPr>
        <w:t xml:space="preserve"> por pessoa e/ou família, bem como os custos envolvidos nas aquisições, a melhor opção é a solução escolhida, pois guarda conformidade técnica, operacional, orçamentária e financeira com a intenção governamental.</w:t>
      </w:r>
    </w:p>
    <w:p w14:paraId="05FFC508" w14:textId="77777777" w:rsidR="00CB0107" w:rsidRPr="00E77199" w:rsidRDefault="00CB0107" w:rsidP="00CB0107">
      <w:pPr>
        <w:pStyle w:val="Corpodetexto"/>
        <w:rPr>
          <w:b w:val="0"/>
          <w:sz w:val="22"/>
          <w:szCs w:val="22"/>
        </w:rPr>
      </w:pPr>
    </w:p>
    <w:p w14:paraId="13296BBB" w14:textId="1CB3B249" w:rsidR="00885647" w:rsidRPr="00885647" w:rsidRDefault="007644AA" w:rsidP="002529B4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6</w:t>
      </w:r>
      <w:r w:rsidR="00885647" w:rsidRPr="00885647">
        <w:rPr>
          <w:sz w:val="24"/>
          <w:szCs w:val="24"/>
        </w:rPr>
        <w:t xml:space="preserve"> – DESCRIÇÃO DA SOLUÇÃO COMO UM TODO</w:t>
      </w:r>
      <w:r w:rsidR="00885647">
        <w:rPr>
          <w:sz w:val="24"/>
          <w:szCs w:val="24"/>
        </w:rPr>
        <w:t>:</w:t>
      </w:r>
    </w:p>
    <w:p w14:paraId="5DE87CC0" w14:textId="70EF3556" w:rsidR="00C666D4" w:rsidRDefault="00C666D4" w:rsidP="002529B4">
      <w:pPr>
        <w:pStyle w:val="Corpodetexto"/>
        <w:rPr>
          <w:b w:val="0"/>
          <w:sz w:val="22"/>
          <w:szCs w:val="22"/>
        </w:rPr>
      </w:pPr>
    </w:p>
    <w:p w14:paraId="45721180" w14:textId="7A563254" w:rsidR="00E77199" w:rsidRPr="007644AA" w:rsidRDefault="00E77199" w:rsidP="002529B4">
      <w:pPr>
        <w:pStyle w:val="Corpodetexto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 xml:space="preserve">      </w:t>
      </w:r>
      <w:r w:rsidR="007644AA" w:rsidRPr="007644AA">
        <w:rPr>
          <w:b w:val="0"/>
          <w:sz w:val="24"/>
          <w:szCs w:val="24"/>
        </w:rPr>
        <w:t xml:space="preserve">A solução proposta consiste na aquisição de peixes à distribuição gratuita à população reconhecidamente carente do Município de </w:t>
      </w:r>
      <w:r w:rsidR="007644AA">
        <w:rPr>
          <w:b w:val="0"/>
          <w:sz w:val="24"/>
          <w:szCs w:val="24"/>
        </w:rPr>
        <w:t xml:space="preserve">São Pedro da </w:t>
      </w:r>
      <w:proofErr w:type="spellStart"/>
      <w:r w:rsidR="007644AA">
        <w:rPr>
          <w:b w:val="0"/>
          <w:sz w:val="24"/>
          <w:szCs w:val="24"/>
        </w:rPr>
        <w:t>Cipa</w:t>
      </w:r>
      <w:proofErr w:type="spellEnd"/>
      <w:r w:rsidR="007644AA" w:rsidRPr="007644AA">
        <w:rPr>
          <w:b w:val="0"/>
          <w:sz w:val="24"/>
          <w:szCs w:val="24"/>
        </w:rPr>
        <w:t xml:space="preserve"> durante </w:t>
      </w:r>
      <w:r w:rsidR="004D049D">
        <w:rPr>
          <w:b w:val="0"/>
          <w:sz w:val="24"/>
          <w:szCs w:val="24"/>
        </w:rPr>
        <w:t>a Semana Santa do exercício 2025</w:t>
      </w:r>
      <w:r w:rsidR="007644AA" w:rsidRPr="007644AA">
        <w:rPr>
          <w:b w:val="0"/>
          <w:sz w:val="24"/>
          <w:szCs w:val="24"/>
        </w:rPr>
        <w:t>. Esta iniciativa visa proporcionar assistência alimentar às famílias em situação de vulnerabilidade, promovendo a segurança alimentar e nutricional e fortalecendo os laços comunitários na região.</w:t>
      </w:r>
    </w:p>
    <w:p w14:paraId="36A3DFA2" w14:textId="2A4A6504" w:rsidR="002529B4" w:rsidRPr="002A64D6" w:rsidRDefault="007644AA" w:rsidP="007644AA">
      <w:pPr>
        <w:pStyle w:val="Ttulo2"/>
        <w:tabs>
          <w:tab w:val="left" w:pos="304"/>
        </w:tabs>
        <w:spacing w:before="230"/>
        <w:rPr>
          <w:sz w:val="22"/>
          <w:szCs w:val="22"/>
        </w:rPr>
      </w:pPr>
      <w:r>
        <w:rPr>
          <w:sz w:val="22"/>
          <w:szCs w:val="22"/>
        </w:rPr>
        <w:t xml:space="preserve">7 - </w:t>
      </w:r>
      <w:r w:rsidR="002529B4" w:rsidRPr="002A64D6">
        <w:rPr>
          <w:sz w:val="22"/>
          <w:szCs w:val="22"/>
        </w:rPr>
        <w:t>ESTIMATIVA</w:t>
      </w:r>
      <w:r w:rsidR="002529B4" w:rsidRPr="002A64D6">
        <w:rPr>
          <w:spacing w:val="-1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DO</w:t>
      </w:r>
      <w:r w:rsidR="002529B4" w:rsidRPr="002A64D6">
        <w:rPr>
          <w:spacing w:val="-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PREÇO</w:t>
      </w:r>
      <w:r w:rsidR="002529B4" w:rsidRPr="002A64D6">
        <w:rPr>
          <w:spacing w:val="-1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</w:t>
      </w:r>
    </w:p>
    <w:p w14:paraId="6EC01989" w14:textId="77777777" w:rsidR="002529B4" w:rsidRDefault="002529B4" w:rsidP="002529B4">
      <w:pPr>
        <w:pStyle w:val="Corpodetexto"/>
        <w:rPr>
          <w:b w:val="0"/>
          <w:bCs w:val="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"/>
        <w:gridCol w:w="1164"/>
        <w:gridCol w:w="2368"/>
        <w:gridCol w:w="1066"/>
        <w:gridCol w:w="1341"/>
        <w:gridCol w:w="1682"/>
      </w:tblGrid>
      <w:tr w:rsidR="00C14A4E" w14:paraId="66725340" w14:textId="77777777" w:rsidTr="004D049D">
        <w:trPr>
          <w:trHeight w:val="348"/>
        </w:trPr>
        <w:tc>
          <w:tcPr>
            <w:tcW w:w="873" w:type="dxa"/>
          </w:tcPr>
          <w:p w14:paraId="46CE9B57" w14:textId="5EB94B57" w:rsidR="00C14A4E" w:rsidRPr="00C666D4" w:rsidRDefault="00C14A4E" w:rsidP="00C666D4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C666D4">
              <w:rPr>
                <w:bCs w:val="0"/>
                <w:sz w:val="22"/>
                <w:szCs w:val="22"/>
              </w:rPr>
              <w:t>ITEM</w:t>
            </w:r>
          </w:p>
        </w:tc>
        <w:tc>
          <w:tcPr>
            <w:tcW w:w="1164" w:type="dxa"/>
          </w:tcPr>
          <w:p w14:paraId="7F2A2661" w14:textId="0BB70F04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CÓD. TCE</w:t>
            </w:r>
          </w:p>
        </w:tc>
        <w:tc>
          <w:tcPr>
            <w:tcW w:w="2368" w:type="dxa"/>
          </w:tcPr>
          <w:p w14:paraId="0F0F45E9" w14:textId="701B0E26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DESCRIÇÃO</w:t>
            </w:r>
          </w:p>
        </w:tc>
        <w:tc>
          <w:tcPr>
            <w:tcW w:w="1066" w:type="dxa"/>
          </w:tcPr>
          <w:p w14:paraId="57F9BA0F" w14:textId="68069CCE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QUANT</w:t>
            </w:r>
            <w:r w:rsidRPr="00FD76E2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1341" w:type="dxa"/>
          </w:tcPr>
          <w:p w14:paraId="198D3F10" w14:textId="633BFA93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VALOR UNITÁRIO</w:t>
            </w:r>
          </w:p>
        </w:tc>
        <w:tc>
          <w:tcPr>
            <w:tcW w:w="1682" w:type="dxa"/>
          </w:tcPr>
          <w:p w14:paraId="2263B70E" w14:textId="0BB77EEF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VALOR TOTAL (R$)</w:t>
            </w:r>
          </w:p>
        </w:tc>
      </w:tr>
      <w:tr w:rsidR="00C14A4E" w14:paraId="75961D67" w14:textId="77777777" w:rsidTr="004D049D">
        <w:trPr>
          <w:trHeight w:val="1969"/>
        </w:trPr>
        <w:tc>
          <w:tcPr>
            <w:tcW w:w="873" w:type="dxa"/>
          </w:tcPr>
          <w:p w14:paraId="549ECEE4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3DDCB29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C7AE26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EF5EC3F" w14:textId="77777777" w:rsid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B750DEC" w14:textId="77777777" w:rsid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AF09CCF" w14:textId="1274F74B" w:rsidR="00C14A4E" w:rsidRPr="00C73465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73465">
              <w:rPr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164" w:type="dxa"/>
          </w:tcPr>
          <w:p w14:paraId="343109DF" w14:textId="77777777" w:rsidR="00C14A4E" w:rsidRPr="00C73465" w:rsidRDefault="00C14A4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39CA483A" w14:textId="77777777" w:rsidR="00C14A4E" w:rsidRPr="00C73465" w:rsidRDefault="00C14A4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633F7659" w14:textId="77777777" w:rsidR="00C14A4E" w:rsidRPr="00C73465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74A3D2D3" w14:textId="77777777" w:rsidR="00C14A4E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4BDBDC6B" w14:textId="77777777" w:rsidR="00C14A4E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0BBC93E2" w14:textId="6A5E3B4D" w:rsidR="00C14A4E" w:rsidRPr="004D049D" w:rsidRDefault="004D049D" w:rsidP="00C73465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4D049D">
              <w:rPr>
                <w:b w:val="0"/>
                <w:color w:val="212529"/>
                <w:sz w:val="22"/>
                <w:szCs w:val="22"/>
                <w:shd w:val="clear" w:color="auto" w:fill="FFFFFF"/>
              </w:rPr>
              <w:t>00069227</w:t>
            </w:r>
          </w:p>
        </w:tc>
        <w:tc>
          <w:tcPr>
            <w:tcW w:w="2368" w:type="dxa"/>
          </w:tcPr>
          <w:p w14:paraId="0976EB89" w14:textId="77777777" w:rsidR="00C14A4E" w:rsidRPr="00C73465" w:rsidRDefault="00C14A4E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749EE8E8" w14:textId="77777777" w:rsidR="004D049D" w:rsidRPr="004D049D" w:rsidRDefault="004D049D" w:rsidP="004D049D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D04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PEIXE - PINTADO, INTEIRO, PRODUTO CRU COM ASPECTO, COR, CHEIRO E SABOR PRÓPRIOS; CONGELADO. EMBALADO A VÁCUO, OU EM FILME PVC OU SACO PLÁSTICO TRANSPARENTE E ATÓXICO.</w:t>
            </w:r>
          </w:p>
          <w:p w14:paraId="5C82010B" w14:textId="77777777" w:rsidR="00C14A4E" w:rsidRPr="00C73465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14:paraId="7EE003B1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0A101B5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BCB7697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0F08CE85" w14:textId="77777777" w:rsidR="00C14A4E" w:rsidRP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E7741E" w14:textId="77777777" w:rsidR="00C14A4E" w:rsidRP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C804DD4" w14:textId="412DFF1F" w:rsidR="00C14A4E" w:rsidRDefault="004D049D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500 </w:t>
            </w:r>
          </w:p>
          <w:p w14:paraId="026EE8D4" w14:textId="091B7F7A" w:rsidR="004D049D" w:rsidRPr="00C14A4E" w:rsidRDefault="004D049D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>kg</w:t>
            </w:r>
            <w:proofErr w:type="gramEnd"/>
          </w:p>
        </w:tc>
        <w:tc>
          <w:tcPr>
            <w:tcW w:w="1341" w:type="dxa"/>
          </w:tcPr>
          <w:p w14:paraId="4D5E9EC1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1FD359E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9FED0A2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F968F59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062186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CFB0BC" w14:textId="476DCCB8" w:rsidR="00C14A4E" w:rsidRDefault="00C14A4E" w:rsidP="004D049D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48204D">
              <w:rPr>
                <w:b w:val="0"/>
                <w:bCs w:val="0"/>
                <w:sz w:val="22"/>
                <w:szCs w:val="22"/>
              </w:rPr>
              <w:t>40,50</w:t>
            </w:r>
          </w:p>
        </w:tc>
        <w:tc>
          <w:tcPr>
            <w:tcW w:w="1682" w:type="dxa"/>
          </w:tcPr>
          <w:p w14:paraId="62475EDF" w14:textId="5AB9110B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70F7929" w14:textId="77777777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57A8062A" w14:textId="77777777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CA02D83" w14:textId="77777777" w:rsidR="00C14A4E" w:rsidRDefault="00C14A4E" w:rsidP="00E77199">
            <w:pPr>
              <w:pStyle w:val="Corpodetex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7534441" w14:textId="77777777" w:rsidR="00C14A4E" w:rsidRDefault="00C14A4E" w:rsidP="00C14A4E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</w:p>
          <w:p w14:paraId="73E6BAB8" w14:textId="0BA16186" w:rsidR="00C14A4E" w:rsidRPr="00C14A4E" w:rsidRDefault="00C14A4E" w:rsidP="004D049D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48204D">
              <w:rPr>
                <w:b w:val="0"/>
                <w:bCs w:val="0"/>
                <w:sz w:val="22"/>
                <w:szCs w:val="22"/>
              </w:rPr>
              <w:t>20.25</w:t>
            </w:r>
            <w:r w:rsidR="004D049D">
              <w:rPr>
                <w:b w:val="0"/>
                <w:bCs w:val="0"/>
                <w:sz w:val="22"/>
                <w:szCs w:val="22"/>
              </w:rPr>
              <w:t>0,00</w:t>
            </w:r>
          </w:p>
        </w:tc>
        <w:bookmarkStart w:id="0" w:name="_GoBack"/>
        <w:bookmarkEnd w:id="0"/>
      </w:tr>
    </w:tbl>
    <w:p w14:paraId="20BB10DC" w14:textId="4410AC21" w:rsidR="00F14994" w:rsidRPr="002A64D6" w:rsidRDefault="00F14994" w:rsidP="00EE58C5">
      <w:pPr>
        <w:pStyle w:val="Corpodetexto"/>
        <w:rPr>
          <w:b w:val="0"/>
          <w:bCs w:val="0"/>
          <w:color w:val="000000"/>
          <w:sz w:val="22"/>
          <w:szCs w:val="22"/>
        </w:rPr>
      </w:pPr>
    </w:p>
    <w:p w14:paraId="193DFCB4" w14:textId="77777777" w:rsidR="002529B4" w:rsidRPr="002A64D6" w:rsidRDefault="002529B4" w:rsidP="002529B4">
      <w:pPr>
        <w:pStyle w:val="Corpodetexto"/>
        <w:spacing w:before="10"/>
        <w:rPr>
          <w:sz w:val="22"/>
          <w:szCs w:val="22"/>
        </w:rPr>
      </w:pPr>
    </w:p>
    <w:p w14:paraId="7A14465A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JUSTIFICATIVA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PARCELAMENTO</w:t>
      </w:r>
      <w:r w:rsidRPr="002A64D6">
        <w:rPr>
          <w:spacing w:val="1"/>
          <w:sz w:val="22"/>
          <w:szCs w:val="22"/>
        </w:rPr>
        <w:t xml:space="preserve"> </w:t>
      </w:r>
      <w:r w:rsidRPr="002A64D6">
        <w:rPr>
          <w:sz w:val="22"/>
          <w:szCs w:val="22"/>
        </w:rPr>
        <w:t>OU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NÃO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SOLUÇÃO</w:t>
      </w:r>
    </w:p>
    <w:p w14:paraId="6AD58DA5" w14:textId="77777777" w:rsidR="002529B4" w:rsidRDefault="002529B4" w:rsidP="002529B4">
      <w:pPr>
        <w:pStyle w:val="Corpodetexto"/>
        <w:spacing w:before="10"/>
        <w:rPr>
          <w:sz w:val="22"/>
          <w:szCs w:val="22"/>
        </w:rPr>
      </w:pPr>
    </w:p>
    <w:p w14:paraId="2D8B82DB" w14:textId="68355552" w:rsidR="00EE58C5" w:rsidRDefault="00C8007E" w:rsidP="002529B4">
      <w:pPr>
        <w:pStyle w:val="Corpodetexto"/>
        <w:spacing w:before="1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="002362B3" w:rsidRPr="00C8007E">
        <w:rPr>
          <w:b w:val="0"/>
          <w:sz w:val="22"/>
          <w:szCs w:val="22"/>
        </w:rPr>
        <w:t>Dada à natureza da aquis</w:t>
      </w:r>
      <w:r w:rsidR="004D049D">
        <w:rPr>
          <w:b w:val="0"/>
          <w:sz w:val="22"/>
          <w:szCs w:val="22"/>
        </w:rPr>
        <w:t>ição envolvida no presente ETP</w:t>
      </w:r>
      <w:r w:rsidR="002362B3" w:rsidRPr="00C8007E">
        <w:rPr>
          <w:b w:val="0"/>
          <w:sz w:val="22"/>
          <w:szCs w:val="22"/>
        </w:rPr>
        <w:t>, não se cogita de q</w:t>
      </w:r>
      <w:r w:rsidR="00C14A4E">
        <w:rPr>
          <w:b w:val="0"/>
          <w:sz w:val="22"/>
          <w:szCs w:val="22"/>
        </w:rPr>
        <w:t xml:space="preserve">ualquer parcelamento da solução. </w:t>
      </w:r>
    </w:p>
    <w:p w14:paraId="27EDEC93" w14:textId="77777777" w:rsidR="00C8007E" w:rsidRPr="00C8007E" w:rsidRDefault="00C8007E" w:rsidP="002529B4">
      <w:pPr>
        <w:pStyle w:val="Corpodetexto"/>
        <w:spacing w:before="10"/>
        <w:rPr>
          <w:b w:val="0"/>
          <w:sz w:val="22"/>
          <w:szCs w:val="22"/>
        </w:rPr>
      </w:pPr>
    </w:p>
    <w:p w14:paraId="1DA7EC41" w14:textId="01AFC8B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spacing w:before="1"/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-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RESULTADOS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PRETENDIDOS</w:t>
      </w:r>
    </w:p>
    <w:p w14:paraId="1D8497DB" w14:textId="77777777" w:rsidR="002529B4" w:rsidRPr="00942E2B" w:rsidRDefault="002529B4" w:rsidP="002529B4">
      <w:pPr>
        <w:pStyle w:val="Corpodetexto"/>
        <w:rPr>
          <w:b w:val="0"/>
          <w:sz w:val="22"/>
          <w:szCs w:val="22"/>
        </w:rPr>
      </w:pPr>
    </w:p>
    <w:p w14:paraId="415DD0F7" w14:textId="70F8F0B8" w:rsidR="0061135C" w:rsidRDefault="00241008" w:rsidP="0061135C">
      <w:pPr>
        <w:pStyle w:val="Corpodetexto"/>
        <w:rPr>
          <w:b w:val="0"/>
          <w:sz w:val="22"/>
          <w:szCs w:val="22"/>
        </w:rPr>
      </w:pPr>
      <w:r w:rsidRPr="00942E2B">
        <w:rPr>
          <w:b w:val="0"/>
          <w:sz w:val="22"/>
          <w:szCs w:val="22"/>
        </w:rPr>
        <w:t xml:space="preserve">   </w:t>
      </w:r>
      <w:r w:rsidR="00942E2B">
        <w:rPr>
          <w:b w:val="0"/>
          <w:sz w:val="22"/>
          <w:szCs w:val="22"/>
        </w:rPr>
        <w:t>P</w:t>
      </w:r>
      <w:r w:rsidR="00942E2B" w:rsidRPr="00942E2B">
        <w:rPr>
          <w:b w:val="0"/>
          <w:sz w:val="22"/>
          <w:szCs w:val="22"/>
        </w:rPr>
        <w:t>retende-se assegurar que as famílias reconhecidamente carentes tenham acesso a uma alimentação adequada e nutritiva, promovendo assim a segurança alimentar e nutricional da população vulnerável, não só como suporte aos programas sociais já vigentes, mas, também, com o viés de fomento à cultura local.</w:t>
      </w:r>
    </w:p>
    <w:p w14:paraId="1937C0E0" w14:textId="77777777" w:rsidR="00942E2B" w:rsidRPr="00942E2B" w:rsidRDefault="00942E2B" w:rsidP="0061135C">
      <w:pPr>
        <w:pStyle w:val="Corpodetexto"/>
        <w:rPr>
          <w:b w:val="0"/>
          <w:sz w:val="22"/>
          <w:szCs w:val="22"/>
        </w:rPr>
      </w:pPr>
    </w:p>
    <w:p w14:paraId="02C27A90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PROVIDÊNCIAS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PRÉVIAS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CONTRATO</w:t>
      </w:r>
    </w:p>
    <w:p w14:paraId="6DE7F3D0" w14:textId="77777777" w:rsidR="00241008" w:rsidRPr="00241008" w:rsidRDefault="00241008" w:rsidP="00241008"/>
    <w:p w14:paraId="526E063D" w14:textId="528F6A96" w:rsidR="002529B4" w:rsidRPr="00611149" w:rsidRDefault="00862ED6" w:rsidP="002529B4">
      <w:pPr>
        <w:pStyle w:val="Corpodetexto"/>
        <w:spacing w:before="10"/>
        <w:rPr>
          <w:b w:val="0"/>
          <w:sz w:val="22"/>
          <w:szCs w:val="22"/>
        </w:rPr>
      </w:pPr>
      <w:r>
        <w:t xml:space="preserve">    </w:t>
      </w:r>
      <w:r w:rsidRPr="00611149">
        <w:rPr>
          <w:b w:val="0"/>
          <w:sz w:val="22"/>
          <w:szCs w:val="22"/>
        </w:rPr>
        <w:t xml:space="preserve">A Administração, deverá designar o fiscal de contrato, servidor para gerenciar, acompanhar e fiscalizar a entrega </w:t>
      </w:r>
      <w:r w:rsidR="00942E2B">
        <w:rPr>
          <w:b w:val="0"/>
          <w:sz w:val="22"/>
          <w:szCs w:val="22"/>
        </w:rPr>
        <w:t>dos peixes</w:t>
      </w:r>
      <w:r w:rsidRPr="00611149">
        <w:rPr>
          <w:b w:val="0"/>
          <w:sz w:val="22"/>
          <w:szCs w:val="22"/>
        </w:rPr>
        <w:t xml:space="preserve">, anotando em registro próprio todas as ocorrências relacionadas com a execução e determinando o que for necessário à regularização de </w:t>
      </w:r>
      <w:r w:rsidR="00942E2B">
        <w:rPr>
          <w:b w:val="0"/>
          <w:sz w:val="22"/>
          <w:szCs w:val="22"/>
        </w:rPr>
        <w:t>danos ou problemas</w:t>
      </w:r>
      <w:r w:rsidRPr="00611149">
        <w:rPr>
          <w:b w:val="0"/>
          <w:sz w:val="22"/>
          <w:szCs w:val="22"/>
        </w:rPr>
        <w:t xml:space="preserve">. Os </w:t>
      </w:r>
      <w:r w:rsidR="00942E2B">
        <w:rPr>
          <w:b w:val="0"/>
          <w:sz w:val="22"/>
          <w:szCs w:val="22"/>
        </w:rPr>
        <w:t>produtos</w:t>
      </w:r>
      <w:r w:rsidR="0061135C">
        <w:rPr>
          <w:b w:val="0"/>
          <w:sz w:val="22"/>
          <w:szCs w:val="22"/>
        </w:rPr>
        <w:t xml:space="preserve"> deverão </w:t>
      </w:r>
      <w:r w:rsidRPr="00611149">
        <w:rPr>
          <w:b w:val="0"/>
          <w:sz w:val="22"/>
          <w:szCs w:val="22"/>
        </w:rPr>
        <w:t>ser entregues no endereço informado, dentro do prazo definido, devendo às expensas da entrega correr por parte do fornecedor, sem ônus de frete ou cobranças adicionais a Secretaria.</w:t>
      </w:r>
    </w:p>
    <w:p w14:paraId="48EE8F4C" w14:textId="77777777" w:rsidR="00611149" w:rsidRPr="002A64D6" w:rsidRDefault="00611149" w:rsidP="002529B4">
      <w:pPr>
        <w:pStyle w:val="Corpodetexto"/>
        <w:spacing w:before="10"/>
        <w:rPr>
          <w:sz w:val="22"/>
          <w:szCs w:val="22"/>
        </w:rPr>
      </w:pPr>
    </w:p>
    <w:p w14:paraId="61F2228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CORRELATAS/INTERDEPENDENTES</w:t>
      </w:r>
    </w:p>
    <w:p w14:paraId="033AA8EB" w14:textId="77777777" w:rsidR="00241008" w:rsidRPr="00241008" w:rsidRDefault="00241008" w:rsidP="00241008"/>
    <w:p w14:paraId="21249DF8" w14:textId="2E8CF333" w:rsidR="002529B4" w:rsidRPr="002A64D6" w:rsidRDefault="00B74F10" w:rsidP="00D22EC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529B4" w:rsidRPr="002A64D6">
        <w:rPr>
          <w:sz w:val="22"/>
          <w:szCs w:val="22"/>
        </w:rPr>
        <w:t>Não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há</w:t>
      </w:r>
      <w:r w:rsidR="002529B4" w:rsidRPr="002A64D6">
        <w:rPr>
          <w:spacing w:val="16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necessidade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de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contratações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correlatas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para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atender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ao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objeto</w:t>
      </w:r>
      <w:r w:rsidR="00241008">
        <w:rPr>
          <w:sz w:val="22"/>
          <w:szCs w:val="22"/>
        </w:rPr>
        <w:t xml:space="preserve"> desta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contratação.</w:t>
      </w:r>
    </w:p>
    <w:p w14:paraId="14CCFAA7" w14:textId="77777777" w:rsidR="002529B4" w:rsidRPr="002A64D6" w:rsidRDefault="002529B4" w:rsidP="002529B4">
      <w:pPr>
        <w:pStyle w:val="Corpodetexto"/>
        <w:spacing w:before="11"/>
        <w:rPr>
          <w:sz w:val="22"/>
          <w:szCs w:val="22"/>
        </w:rPr>
      </w:pPr>
    </w:p>
    <w:p w14:paraId="16B89E0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895C3E">
        <w:rPr>
          <w:sz w:val="22"/>
          <w:szCs w:val="22"/>
        </w:rPr>
        <w:t>–</w:t>
      </w:r>
      <w:r w:rsidRPr="00895C3E">
        <w:rPr>
          <w:spacing w:val="-2"/>
          <w:sz w:val="22"/>
          <w:szCs w:val="22"/>
        </w:rPr>
        <w:t xml:space="preserve"> </w:t>
      </w:r>
      <w:r w:rsidRPr="00895C3E">
        <w:rPr>
          <w:sz w:val="22"/>
          <w:szCs w:val="22"/>
        </w:rPr>
        <w:t>IMPACTOS AMBIENTAIS</w:t>
      </w:r>
    </w:p>
    <w:p w14:paraId="1A193ADF" w14:textId="4EB7D381" w:rsidR="00A47EA4" w:rsidRDefault="00A47EA4" w:rsidP="00895C3E">
      <w:pPr>
        <w:pStyle w:val="PargrafodaLista"/>
      </w:pPr>
    </w:p>
    <w:p w14:paraId="02FC2DAE" w14:textId="62F8E41E" w:rsidR="00611149" w:rsidRPr="00A47EA4" w:rsidRDefault="00611149" w:rsidP="00611149">
      <w:r>
        <w:t xml:space="preserve">    Dada a natureza da aquisição envolvida no presente ETP, não se aplica ao caso. </w:t>
      </w:r>
    </w:p>
    <w:p w14:paraId="50F5AB3F" w14:textId="77777777" w:rsidR="00B74F10" w:rsidRPr="00895C3E" w:rsidRDefault="00B74F10" w:rsidP="00B74F10"/>
    <w:p w14:paraId="2CAAAD19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VIABILIDADE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571E2648" w14:textId="792224E2" w:rsidR="00B74F10" w:rsidRPr="00B74F10" w:rsidRDefault="00B74F10" w:rsidP="00B74F10">
      <w:r>
        <w:t xml:space="preserve">  </w:t>
      </w:r>
    </w:p>
    <w:p w14:paraId="20311A83" w14:textId="478AC8CB" w:rsidR="00D22EC7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B74F10">
        <w:rPr>
          <w:b w:val="0"/>
          <w:sz w:val="24"/>
          <w:szCs w:val="24"/>
        </w:rPr>
        <w:t>Os estudos preliminares evidenciaram que a contratação da solução se mostra possível tecnicamente e fundamentadamente necessária. Diante do exposto, declara-se ser viável a contratação pretendida.</w:t>
      </w:r>
    </w:p>
    <w:p w14:paraId="3245E6B1" w14:textId="77777777" w:rsid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3EAFF110" w14:textId="77777777" w:rsidR="00B74F10" w:rsidRP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2E48D252" w14:textId="77777777" w:rsidR="00D22EC7" w:rsidRPr="002A64D6" w:rsidRDefault="00D22EC7" w:rsidP="002529B4">
      <w:pPr>
        <w:pStyle w:val="Corpodetexto"/>
        <w:jc w:val="right"/>
        <w:rPr>
          <w:sz w:val="22"/>
          <w:szCs w:val="22"/>
        </w:rPr>
      </w:pPr>
    </w:p>
    <w:p w14:paraId="1D43FD7C" w14:textId="3090A126" w:rsidR="002529B4" w:rsidRPr="002A64D6" w:rsidRDefault="00C41BCC" w:rsidP="002529B4">
      <w:pPr>
        <w:pStyle w:val="Corpodetexto"/>
        <w:jc w:val="right"/>
        <w:rPr>
          <w:b w:val="0"/>
          <w:bCs w:val="0"/>
          <w:sz w:val="22"/>
          <w:szCs w:val="22"/>
        </w:rPr>
      </w:pPr>
      <w:r w:rsidRPr="002A64D6">
        <w:rPr>
          <w:b w:val="0"/>
          <w:bCs w:val="0"/>
          <w:sz w:val="22"/>
          <w:szCs w:val="22"/>
        </w:rPr>
        <w:t>São P</w:t>
      </w:r>
      <w:r w:rsidR="00D22EC7" w:rsidRPr="002A64D6">
        <w:rPr>
          <w:b w:val="0"/>
          <w:bCs w:val="0"/>
          <w:sz w:val="22"/>
          <w:szCs w:val="22"/>
        </w:rPr>
        <w:t>e</w:t>
      </w:r>
      <w:r w:rsidRPr="002A64D6">
        <w:rPr>
          <w:b w:val="0"/>
          <w:bCs w:val="0"/>
          <w:sz w:val="22"/>
          <w:szCs w:val="22"/>
        </w:rPr>
        <w:t xml:space="preserve">dro da </w:t>
      </w:r>
      <w:proofErr w:type="spellStart"/>
      <w:r w:rsidRPr="002A64D6">
        <w:rPr>
          <w:b w:val="0"/>
          <w:bCs w:val="0"/>
          <w:sz w:val="22"/>
          <w:szCs w:val="22"/>
        </w:rPr>
        <w:t>Cipa</w:t>
      </w:r>
      <w:proofErr w:type="spellEnd"/>
      <w:r w:rsidRPr="002A64D6">
        <w:rPr>
          <w:b w:val="0"/>
          <w:bCs w:val="0"/>
          <w:sz w:val="22"/>
          <w:szCs w:val="22"/>
        </w:rPr>
        <w:t>/MT</w:t>
      </w:r>
      <w:r w:rsidR="002529B4" w:rsidRPr="002A64D6">
        <w:rPr>
          <w:b w:val="0"/>
          <w:bCs w:val="0"/>
          <w:sz w:val="22"/>
          <w:szCs w:val="22"/>
        </w:rPr>
        <w:t>,</w:t>
      </w:r>
      <w:r w:rsidR="002529B4" w:rsidRPr="002A64D6">
        <w:rPr>
          <w:b w:val="0"/>
          <w:bCs w:val="0"/>
          <w:spacing w:val="-2"/>
          <w:sz w:val="22"/>
          <w:szCs w:val="22"/>
        </w:rPr>
        <w:t xml:space="preserve"> </w:t>
      </w:r>
      <w:r w:rsidR="0061135C">
        <w:rPr>
          <w:b w:val="0"/>
          <w:bCs w:val="0"/>
          <w:spacing w:val="-2"/>
          <w:sz w:val="22"/>
          <w:szCs w:val="22"/>
        </w:rPr>
        <w:t>14</w:t>
      </w:r>
      <w:r w:rsidR="002529B4" w:rsidRPr="002A64D6">
        <w:rPr>
          <w:b w:val="0"/>
          <w:bCs w:val="0"/>
          <w:spacing w:val="-4"/>
          <w:sz w:val="22"/>
          <w:szCs w:val="22"/>
        </w:rPr>
        <w:t xml:space="preserve"> </w:t>
      </w:r>
      <w:r w:rsidR="002529B4" w:rsidRPr="002A64D6">
        <w:rPr>
          <w:b w:val="0"/>
          <w:bCs w:val="0"/>
          <w:sz w:val="22"/>
          <w:szCs w:val="22"/>
        </w:rPr>
        <w:t>de</w:t>
      </w:r>
      <w:r w:rsidR="002529B4" w:rsidRPr="002A64D6">
        <w:rPr>
          <w:b w:val="0"/>
          <w:bCs w:val="0"/>
          <w:spacing w:val="1"/>
          <w:sz w:val="22"/>
          <w:szCs w:val="22"/>
        </w:rPr>
        <w:t xml:space="preserve"> </w:t>
      </w:r>
      <w:r w:rsidR="00942E2B">
        <w:rPr>
          <w:b w:val="0"/>
          <w:bCs w:val="0"/>
          <w:spacing w:val="1"/>
          <w:sz w:val="22"/>
          <w:szCs w:val="22"/>
        </w:rPr>
        <w:t>março</w:t>
      </w:r>
      <w:r w:rsidR="002529B4" w:rsidRPr="002A64D6">
        <w:rPr>
          <w:b w:val="0"/>
          <w:bCs w:val="0"/>
          <w:sz w:val="22"/>
          <w:szCs w:val="22"/>
        </w:rPr>
        <w:t xml:space="preserve"> de</w:t>
      </w:r>
      <w:r w:rsidR="002529B4" w:rsidRPr="002A64D6">
        <w:rPr>
          <w:b w:val="0"/>
          <w:bCs w:val="0"/>
          <w:spacing w:val="-1"/>
          <w:sz w:val="22"/>
          <w:szCs w:val="22"/>
        </w:rPr>
        <w:t xml:space="preserve"> </w:t>
      </w:r>
      <w:r w:rsidR="002529B4" w:rsidRPr="002A64D6">
        <w:rPr>
          <w:b w:val="0"/>
          <w:bCs w:val="0"/>
          <w:sz w:val="22"/>
          <w:szCs w:val="22"/>
        </w:rPr>
        <w:t>202</w:t>
      </w:r>
      <w:r w:rsidR="00D22EC7" w:rsidRPr="002A64D6">
        <w:rPr>
          <w:b w:val="0"/>
          <w:bCs w:val="0"/>
          <w:sz w:val="22"/>
          <w:szCs w:val="22"/>
        </w:rPr>
        <w:t>4</w:t>
      </w:r>
      <w:r w:rsidR="002529B4" w:rsidRPr="002A64D6">
        <w:rPr>
          <w:b w:val="0"/>
          <w:bCs w:val="0"/>
          <w:sz w:val="22"/>
          <w:szCs w:val="22"/>
        </w:rPr>
        <w:t>.</w:t>
      </w:r>
    </w:p>
    <w:p w14:paraId="000C570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741331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411229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06979D6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973E54E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3124765" w14:textId="77777777" w:rsidR="002A64D6" w:rsidRDefault="002A64D6" w:rsidP="00942E2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34C4E405" w14:textId="24E927D5" w:rsidR="002A64D6" w:rsidRPr="000C0315" w:rsidRDefault="00942E2B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JUSCÉLIA DIOGO DE OLIVEIRA</w:t>
      </w:r>
    </w:p>
    <w:p w14:paraId="11393D13" w14:textId="3BCCAD03" w:rsidR="002A64D6" w:rsidRPr="00942E2B" w:rsidRDefault="0061135C" w:rsidP="00942E2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Secretário Municipal de </w:t>
      </w:r>
      <w:r w:rsidR="00942E2B">
        <w:rPr>
          <w:rFonts w:ascii="Times New Roman" w:hAnsi="Times New Roman"/>
          <w:b/>
          <w:sz w:val="24"/>
          <w:szCs w:val="24"/>
        </w:rPr>
        <w:t>Assistência Social</w:t>
      </w:r>
    </w:p>
    <w:sectPr w:rsidR="002A64D6" w:rsidRPr="00942E2B" w:rsidSect="00C77A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22D8E" w14:textId="77777777" w:rsidR="00895C3E" w:rsidRDefault="00895C3E">
      <w:r>
        <w:separator/>
      </w:r>
    </w:p>
  </w:endnote>
  <w:endnote w:type="continuationSeparator" w:id="0">
    <w:p w14:paraId="1C54D9CB" w14:textId="77777777" w:rsidR="00895C3E" w:rsidRDefault="008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82F07" w14:textId="77777777" w:rsidR="00895C3E" w:rsidRDefault="0048204D" w:rsidP="006D4C3D">
    <w:pPr>
      <w:pStyle w:val="Rodap"/>
    </w:pPr>
    <w:r>
      <w:pict w14:anchorId="6AEC87E5">
        <v:rect id="_x0000_i1026" style="width:420.25pt;height:3pt" o:hralign="center" o:hrstd="t" o:hrnoshade="t" o:hr="t" fillcolor="black" stroked="f"/>
      </w:pict>
    </w:r>
  </w:p>
  <w:p w14:paraId="5950E29A" w14:textId="77777777" w:rsidR="00895C3E" w:rsidRDefault="00895C3E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0F121D97" w14:textId="77777777" w:rsidR="00895C3E" w:rsidRPr="00A13DA9" w:rsidRDefault="00895C3E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53A72" w14:textId="77777777" w:rsidR="00895C3E" w:rsidRDefault="00895C3E">
      <w:r>
        <w:separator/>
      </w:r>
    </w:p>
  </w:footnote>
  <w:footnote w:type="continuationSeparator" w:id="0">
    <w:p w14:paraId="24C6D587" w14:textId="77777777" w:rsidR="00895C3E" w:rsidRDefault="0089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A0E5" w14:textId="77777777" w:rsidR="00895C3E" w:rsidRDefault="00895C3E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E069588" wp14:editId="6DA3592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F5440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0A0FD3AD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4C0A5AC" w14:textId="5DA08B54" w:rsidR="004A3EF1" w:rsidRPr="001815D6" w:rsidRDefault="00895C3E" w:rsidP="004A3EF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4A3EF1">
      <w:rPr>
        <w:rFonts w:ascii="Poster Bodoni" w:hAnsi="Poster Bodoni" w:cs="Poster Bodoni"/>
        <w:b/>
        <w:bCs/>
        <w:sz w:val="22"/>
        <w:szCs w:val="22"/>
      </w:rPr>
      <w:t xml:space="preserve">25 </w:t>
    </w:r>
    <w:r w:rsidRPr="001815D6">
      <w:rPr>
        <w:rFonts w:ascii="Poster Bodoni" w:hAnsi="Poster Bodoni" w:cs="Poster Bodoni"/>
        <w:b/>
        <w:bCs/>
        <w:sz w:val="22"/>
        <w:szCs w:val="22"/>
      </w:rPr>
      <w:t>A 20</w:t>
    </w:r>
    <w:r w:rsidR="004A3EF1">
      <w:rPr>
        <w:rFonts w:ascii="Poster Bodoni" w:hAnsi="Poster Bodoni" w:cs="Poster Bodoni"/>
        <w:b/>
        <w:bCs/>
        <w:sz w:val="22"/>
        <w:szCs w:val="22"/>
      </w:rPr>
      <w:t>28</w:t>
    </w:r>
  </w:p>
  <w:p w14:paraId="34CA7BB3" w14:textId="77777777" w:rsidR="00895C3E" w:rsidRDefault="00895C3E" w:rsidP="00A13DA9">
    <w:pPr>
      <w:pStyle w:val="Cabealho"/>
      <w:tabs>
        <w:tab w:val="left" w:pos="3525"/>
      </w:tabs>
    </w:pPr>
    <w:r>
      <w:tab/>
    </w:r>
  </w:p>
  <w:p w14:paraId="56F8429D" w14:textId="77777777" w:rsidR="00895C3E" w:rsidRDefault="0048204D" w:rsidP="00A13DA9">
    <w:pPr>
      <w:pStyle w:val="Cabealho"/>
      <w:tabs>
        <w:tab w:val="left" w:pos="3525"/>
      </w:tabs>
    </w:pPr>
    <w:r>
      <w:pict w14:anchorId="2EA0D3DD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2B3E2766"/>
    <w:multiLevelType w:val="multilevel"/>
    <w:tmpl w:val="7E5AE206"/>
    <w:lvl w:ilvl="0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4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432"/>
      </w:pPr>
      <w:rPr>
        <w:rFonts w:hint="default"/>
        <w:lang w:val="pt-PT" w:eastAsia="en-US" w:bidi="ar-SA"/>
      </w:rPr>
    </w:lvl>
  </w:abstractNum>
  <w:abstractNum w:abstractNumId="17">
    <w:nsid w:val="4AD350A0"/>
    <w:multiLevelType w:val="multilevel"/>
    <w:tmpl w:val="3C4463F4"/>
    <w:lvl w:ilvl="0">
      <w:start w:val="1"/>
      <w:numFmt w:val="decimal"/>
      <w:lvlText w:val="%1"/>
      <w:lvlJc w:val="left"/>
      <w:pPr>
        <w:ind w:left="303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7" w:hanging="46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20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3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1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95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8" w:hanging="209"/>
      </w:pPr>
      <w:rPr>
        <w:rFonts w:hint="default"/>
        <w:lang w:val="pt-PT" w:eastAsia="en-US" w:bidi="ar-SA"/>
      </w:rPr>
    </w:lvl>
  </w:abstractNum>
  <w:abstractNum w:abstractNumId="18">
    <w:nsid w:val="4DFA3037"/>
    <w:multiLevelType w:val="hybridMultilevel"/>
    <w:tmpl w:val="5498C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92E83"/>
    <w:multiLevelType w:val="hybridMultilevel"/>
    <w:tmpl w:val="DA163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8"/>
  </w:num>
  <w:num w:numId="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13B6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0035"/>
    <w:rsid w:val="00172F04"/>
    <w:rsid w:val="001747C5"/>
    <w:rsid w:val="00176A9D"/>
    <w:rsid w:val="001815D6"/>
    <w:rsid w:val="00181B0D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362B3"/>
    <w:rsid w:val="00241008"/>
    <w:rsid w:val="00251946"/>
    <w:rsid w:val="002529B4"/>
    <w:rsid w:val="00254592"/>
    <w:rsid w:val="00255AE3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A64D6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2B4"/>
    <w:rsid w:val="003E4BF5"/>
    <w:rsid w:val="003E5DE9"/>
    <w:rsid w:val="003E6AD7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204D"/>
    <w:rsid w:val="00485532"/>
    <w:rsid w:val="0049598F"/>
    <w:rsid w:val="00495D46"/>
    <w:rsid w:val="00497EE3"/>
    <w:rsid w:val="004A3EF1"/>
    <w:rsid w:val="004B0D1C"/>
    <w:rsid w:val="004B3BCB"/>
    <w:rsid w:val="004B783C"/>
    <w:rsid w:val="004C0791"/>
    <w:rsid w:val="004C220C"/>
    <w:rsid w:val="004C2F1A"/>
    <w:rsid w:val="004D033B"/>
    <w:rsid w:val="004D049D"/>
    <w:rsid w:val="004D49B3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87E1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149"/>
    <w:rsid w:val="0061135C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3E8E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35CA1"/>
    <w:rsid w:val="0074176D"/>
    <w:rsid w:val="007426DF"/>
    <w:rsid w:val="00745332"/>
    <w:rsid w:val="00750BF7"/>
    <w:rsid w:val="007575F7"/>
    <w:rsid w:val="00760D90"/>
    <w:rsid w:val="007629F6"/>
    <w:rsid w:val="007644AA"/>
    <w:rsid w:val="0076527B"/>
    <w:rsid w:val="007664BD"/>
    <w:rsid w:val="007729B1"/>
    <w:rsid w:val="0077720F"/>
    <w:rsid w:val="00781096"/>
    <w:rsid w:val="0078159F"/>
    <w:rsid w:val="007829C9"/>
    <w:rsid w:val="0078553A"/>
    <w:rsid w:val="0079216F"/>
    <w:rsid w:val="007962F3"/>
    <w:rsid w:val="007A4DBB"/>
    <w:rsid w:val="007A5CBF"/>
    <w:rsid w:val="007A636A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7AEE"/>
    <w:rsid w:val="00851EC7"/>
    <w:rsid w:val="008534BB"/>
    <w:rsid w:val="00853F37"/>
    <w:rsid w:val="00862ED6"/>
    <w:rsid w:val="00863C10"/>
    <w:rsid w:val="00864C2A"/>
    <w:rsid w:val="00871783"/>
    <w:rsid w:val="00872DB7"/>
    <w:rsid w:val="00873F27"/>
    <w:rsid w:val="00874D2A"/>
    <w:rsid w:val="00875DF1"/>
    <w:rsid w:val="00876854"/>
    <w:rsid w:val="00877DEB"/>
    <w:rsid w:val="008817B7"/>
    <w:rsid w:val="00885647"/>
    <w:rsid w:val="00887181"/>
    <w:rsid w:val="00895244"/>
    <w:rsid w:val="00895C3E"/>
    <w:rsid w:val="008A001D"/>
    <w:rsid w:val="008A011F"/>
    <w:rsid w:val="008A138F"/>
    <w:rsid w:val="008A1F6C"/>
    <w:rsid w:val="008A3354"/>
    <w:rsid w:val="008A5BF1"/>
    <w:rsid w:val="008B371C"/>
    <w:rsid w:val="008B3B90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3E44"/>
    <w:rsid w:val="00937377"/>
    <w:rsid w:val="00942E2B"/>
    <w:rsid w:val="00943685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043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26155"/>
    <w:rsid w:val="00A30D90"/>
    <w:rsid w:val="00A45B9D"/>
    <w:rsid w:val="00A47367"/>
    <w:rsid w:val="00A47EA4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3BB7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4F10"/>
    <w:rsid w:val="00B76964"/>
    <w:rsid w:val="00B7768C"/>
    <w:rsid w:val="00B82408"/>
    <w:rsid w:val="00B83DAA"/>
    <w:rsid w:val="00B86347"/>
    <w:rsid w:val="00B8639E"/>
    <w:rsid w:val="00B86B59"/>
    <w:rsid w:val="00B95ED5"/>
    <w:rsid w:val="00BA4725"/>
    <w:rsid w:val="00BA7A44"/>
    <w:rsid w:val="00BB03FF"/>
    <w:rsid w:val="00BB05C1"/>
    <w:rsid w:val="00BB3D10"/>
    <w:rsid w:val="00BB3DB4"/>
    <w:rsid w:val="00BB58F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4A4E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169E"/>
    <w:rsid w:val="00C41BCC"/>
    <w:rsid w:val="00C444FE"/>
    <w:rsid w:val="00C5047A"/>
    <w:rsid w:val="00C50FD4"/>
    <w:rsid w:val="00C51D27"/>
    <w:rsid w:val="00C52018"/>
    <w:rsid w:val="00C52BC5"/>
    <w:rsid w:val="00C55807"/>
    <w:rsid w:val="00C6042F"/>
    <w:rsid w:val="00C666D4"/>
    <w:rsid w:val="00C67B16"/>
    <w:rsid w:val="00C73465"/>
    <w:rsid w:val="00C75E4C"/>
    <w:rsid w:val="00C763F1"/>
    <w:rsid w:val="00C77861"/>
    <w:rsid w:val="00C77ADC"/>
    <w:rsid w:val="00C8007E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010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E7473"/>
    <w:rsid w:val="00CF0A46"/>
    <w:rsid w:val="00CF2694"/>
    <w:rsid w:val="00CF55B3"/>
    <w:rsid w:val="00D0454F"/>
    <w:rsid w:val="00D1152C"/>
    <w:rsid w:val="00D152B4"/>
    <w:rsid w:val="00D21784"/>
    <w:rsid w:val="00D22221"/>
    <w:rsid w:val="00D22EC7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22E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3228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49F8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77199"/>
    <w:rsid w:val="00E8055C"/>
    <w:rsid w:val="00E83553"/>
    <w:rsid w:val="00E84D13"/>
    <w:rsid w:val="00E85CDD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8C5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4994"/>
    <w:rsid w:val="00F15115"/>
    <w:rsid w:val="00F21FB2"/>
    <w:rsid w:val="00F2486B"/>
    <w:rsid w:val="00F27FEF"/>
    <w:rsid w:val="00F31579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D76E2"/>
    <w:rsid w:val="00FE1A1B"/>
    <w:rsid w:val="00FE31FE"/>
    <w:rsid w:val="00FF09AC"/>
    <w:rsid w:val="00FF1B86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7"/>
    <o:shapelayout v:ext="edit">
      <o:idmap v:ext="edit" data="1"/>
    </o:shapelayout>
  </w:shapeDefaults>
  <w:decimalSymbol w:val=","/>
  <w:listSeparator w:val=";"/>
  <w14:docId w14:val="4AB3E2E5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fontstyle01">
    <w:name w:val="fontstyle01"/>
    <w:rsid w:val="00252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822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9</cp:revision>
  <cp:lastPrinted>2025-03-17T19:46:00Z</cp:lastPrinted>
  <dcterms:created xsi:type="dcterms:W3CDTF">2024-04-11T19:07:00Z</dcterms:created>
  <dcterms:modified xsi:type="dcterms:W3CDTF">2025-03-17T19:46:00Z</dcterms:modified>
</cp:coreProperties>
</file>