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A179D4" w:rsidRPr="00A179D4" w:rsidRDefault="00A179D4"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FC37D4" w:rsidRPr="00A179D4">
        <w:rPr>
          <w:rFonts w:ascii="Arial" w:hAnsi="Arial" w:cs="Arial"/>
          <w:b/>
          <w:u w:val="single"/>
        </w:rPr>
        <w:t xml:space="preserve"> 001/2020</w:t>
      </w:r>
    </w:p>
    <w:p w:rsidR="00970046" w:rsidRPr="00A179D4" w:rsidRDefault="00970046" w:rsidP="00970046">
      <w:pPr>
        <w:suppressAutoHyphens/>
        <w:jc w:val="center"/>
        <w:rPr>
          <w:rFonts w:ascii="Arial" w:hAnsi="Arial" w:cs="Arial"/>
          <w:b/>
        </w:rPr>
      </w:pPr>
    </w:p>
    <w:p w:rsidR="00970046" w:rsidRPr="00A179D4" w:rsidRDefault="00FC37D4" w:rsidP="00CF781F">
      <w:pPr>
        <w:suppressAutoHyphens/>
        <w:jc w:val="center"/>
        <w:rPr>
          <w:rFonts w:ascii="Arial" w:hAnsi="Arial" w:cs="Arial"/>
          <w:b/>
        </w:rPr>
      </w:pPr>
      <w:r w:rsidRPr="00A179D4">
        <w:rPr>
          <w:rFonts w:ascii="Arial" w:hAnsi="Arial" w:cs="Arial"/>
          <w:b/>
        </w:rPr>
        <w:t>PREGÃO 001/2020</w:t>
      </w:r>
    </w:p>
    <w:p w:rsidR="00970046" w:rsidRPr="00A179D4" w:rsidRDefault="00970046" w:rsidP="00970046">
      <w:pPr>
        <w:suppressAutoHyphens/>
        <w:jc w:val="center"/>
        <w:rPr>
          <w:rFonts w:ascii="Arial" w:hAnsi="Arial" w:cs="Arial"/>
        </w:rPr>
      </w:pPr>
    </w:p>
    <w:p w:rsidR="00970046" w:rsidRPr="00A179D4" w:rsidRDefault="00970046" w:rsidP="00970046">
      <w:pPr>
        <w:suppressAutoHyphens/>
        <w:jc w:val="center"/>
        <w:rPr>
          <w:rFonts w:ascii="Arial" w:hAnsi="Arial" w:cs="Arial"/>
        </w:rPr>
      </w:pPr>
      <w:r w:rsidRPr="00A179D4">
        <w:rPr>
          <w:rFonts w:ascii="Arial" w:hAnsi="Arial" w:cs="Arial"/>
        </w:rPr>
        <w:t>VALIDADE: 12 (DOZE) MESES</w:t>
      </w:r>
    </w:p>
    <w:p w:rsidR="00970046" w:rsidRPr="00A179D4" w:rsidRDefault="00970046" w:rsidP="00970046">
      <w:pPr>
        <w:suppressAutoHyphens/>
        <w:ind w:left="4678"/>
        <w:jc w:val="both"/>
        <w:rPr>
          <w:rFonts w:ascii="Arial" w:hAnsi="Arial" w:cs="Arial"/>
          <w:b/>
        </w:rPr>
      </w:pPr>
    </w:p>
    <w:p w:rsidR="00970046" w:rsidRPr="00A179D4" w:rsidRDefault="00970046" w:rsidP="00970046">
      <w:pPr>
        <w:suppressAutoHyphens/>
        <w:jc w:val="both"/>
        <w:outlineLvl w:val="0"/>
        <w:rPr>
          <w:rFonts w:ascii="Arial" w:hAnsi="Arial" w:cs="Arial"/>
        </w:rPr>
      </w:pPr>
    </w:p>
    <w:p w:rsidR="00970046" w:rsidRPr="00A179D4" w:rsidRDefault="003B70BB" w:rsidP="00970046">
      <w:pPr>
        <w:suppressAutoHyphens/>
        <w:jc w:val="both"/>
        <w:outlineLvl w:val="0"/>
        <w:rPr>
          <w:rFonts w:ascii="Arial" w:hAnsi="Arial" w:cs="Arial"/>
        </w:rPr>
      </w:pPr>
      <w:r w:rsidRPr="00A179D4">
        <w:rPr>
          <w:rFonts w:ascii="Arial" w:hAnsi="Arial" w:cs="Arial"/>
        </w:rPr>
        <w:t xml:space="preserve">Aos </w:t>
      </w:r>
      <w:r w:rsidR="00FC37D4" w:rsidRPr="00A179D4">
        <w:rPr>
          <w:rFonts w:ascii="Arial" w:hAnsi="Arial" w:cs="Arial"/>
        </w:rPr>
        <w:t>dez</w:t>
      </w:r>
      <w:r w:rsidRPr="00A179D4">
        <w:rPr>
          <w:rFonts w:ascii="Arial" w:hAnsi="Arial" w:cs="Arial"/>
        </w:rPr>
        <w:t xml:space="preserve"> dias do mês de </w:t>
      </w:r>
      <w:r w:rsidR="00FC37D4" w:rsidRPr="00A179D4">
        <w:rPr>
          <w:rFonts w:ascii="Arial" w:hAnsi="Arial" w:cs="Arial"/>
        </w:rPr>
        <w:t>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Pr="00A179D4">
        <w:rPr>
          <w:rFonts w:ascii="Arial" w:hAnsi="Arial" w:cs="Arial"/>
        </w:rPr>
        <w:t xml:space="preserve"> </w:t>
      </w:r>
      <w:r w:rsidR="00970046" w:rsidRPr="00A179D4">
        <w:rPr>
          <w:rFonts w:ascii="Arial" w:hAnsi="Arial" w:cs="Arial"/>
          <w:b/>
        </w:rPr>
        <w:t>ALEXANDRE RUSS</w:t>
      </w:r>
      <w:r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FC37D4" w:rsidRPr="00A179D4">
        <w:rPr>
          <w:b/>
        </w:rPr>
        <w:t xml:space="preserve">F.L. AGUIAR, </w:t>
      </w:r>
      <w:r w:rsidR="00FC37D4" w:rsidRPr="00A179D4">
        <w:t>RUA 4, QUADRA 17, Nº 19, BAIRRO JARDIM UMUARAMA, CUIABA-MT: 78.058-599, Inscrita no CNPJ N°. 13.498.158/0001-85 neste ato representado pelo</w:t>
      </w:r>
      <w:r w:rsidR="00FC37D4" w:rsidRPr="00A179D4">
        <w:rPr>
          <w:b/>
        </w:rPr>
        <w:t xml:space="preserve"> Sra. PAULO VICTOR PREZA REGO, </w:t>
      </w:r>
      <w:r w:rsidR="00FC37D4" w:rsidRPr="00A179D4">
        <w:t>Portador do RG: 1382384-1 SSP/MT e CPF Nº</w:t>
      </w:r>
      <w:r w:rsidR="00FC37D4" w:rsidRPr="00A179D4">
        <w:rPr>
          <w:b/>
        </w:rPr>
        <w:t xml:space="preserve"> </w:t>
      </w:r>
      <w:r w:rsidR="00FC37D4" w:rsidRPr="00A179D4">
        <w:t>002.250.931</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sidR="00FC37D4" w:rsidRPr="00A179D4">
        <w:rPr>
          <w:rFonts w:ascii="Arial" w:hAnsi="Arial" w:cs="Arial"/>
        </w:rPr>
        <w:t>001/20120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A179D4">
        <w:rPr>
          <w:rFonts w:ascii="Arial" w:hAnsi="Arial" w:cs="Arial"/>
          <w:b/>
        </w:rPr>
        <w:t xml:space="preserve">objeto o </w:t>
      </w:r>
      <w:r w:rsidR="00FC37D4" w:rsidRPr="00A179D4">
        <w:rPr>
          <w:rFonts w:ascii="Arial" w:hAnsi="Arial" w:cs="Arial"/>
          <w:b/>
          <w:bCs/>
        </w:rPr>
        <w:t xml:space="preserve">“Registro de preços para eventual e futura aquisição de materiais de expediente para todos as secretarias desta prefeitura” </w:t>
      </w:r>
      <w:r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sidR="00FC37D4" w:rsidRPr="00A179D4">
        <w:rPr>
          <w:rFonts w:ascii="Arial" w:hAnsi="Arial" w:cs="Arial"/>
        </w:rPr>
        <w:t>001/2020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Pr="00A179D4"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96908" w:rsidRPr="00A179D4">
        <w:rPr>
          <w:rFonts w:ascii="Arial" w:hAnsi="Arial" w:cs="Arial"/>
          <w:b/>
          <w:bCs/>
        </w:rPr>
        <w:t>“Registro de preços para eventual e futura aquisição de materiais de expediente para todos as secretarias desta prefeitura”</w:t>
      </w:r>
      <w:r w:rsidRPr="00A179D4">
        <w:rPr>
          <w:rFonts w:ascii="Arial" w:hAnsi="Arial" w:cs="Arial"/>
        </w:rPr>
        <w:t>, conforme planilha constante no anexo I constantes do Edital</w:t>
      </w:r>
    </w:p>
    <w:p w:rsidR="003A08BA" w:rsidRPr="00A179D4" w:rsidRDefault="003A08BA" w:rsidP="003A08BA">
      <w:pPr>
        <w:autoSpaceDE w:val="0"/>
        <w:autoSpaceDN w:val="0"/>
        <w:ind w:left="-5"/>
        <w:jc w:val="both"/>
        <w:rPr>
          <w:rFonts w:ascii="Arial" w:hAnsi="Arial" w:cs="Arial"/>
        </w:rPr>
      </w:pPr>
    </w:p>
    <w:tbl>
      <w:tblPr>
        <w:tblW w:w="9887" w:type="dxa"/>
        <w:jc w:val="center"/>
        <w:shd w:val="clear" w:color="auto" w:fill="FFFFFF"/>
        <w:tblCellMar>
          <w:left w:w="70" w:type="dxa"/>
          <w:right w:w="70" w:type="dxa"/>
        </w:tblCellMar>
        <w:tblLook w:val="04A0" w:firstRow="1" w:lastRow="0" w:firstColumn="1" w:lastColumn="0" w:noHBand="0" w:noVBand="1"/>
      </w:tblPr>
      <w:tblGrid>
        <w:gridCol w:w="714"/>
        <w:gridCol w:w="2803"/>
        <w:gridCol w:w="1074"/>
        <w:gridCol w:w="1807"/>
        <w:gridCol w:w="1056"/>
        <w:gridCol w:w="994"/>
        <w:gridCol w:w="1439"/>
      </w:tblGrid>
      <w:tr w:rsidR="008C3F7A" w:rsidRPr="00A179D4" w:rsidTr="008C3F7A">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7D4" w:rsidRPr="00A179D4" w:rsidRDefault="00FC37D4" w:rsidP="00396908">
            <w:pPr>
              <w:pStyle w:val="PargrafodaLista"/>
              <w:ind w:left="0"/>
              <w:jc w:val="center"/>
              <w:rPr>
                <w:rFonts w:ascii="Arial" w:hAnsi="Arial" w:cs="Arial"/>
                <w:b/>
                <w:bCs/>
              </w:rPr>
            </w:pPr>
            <w:r w:rsidRPr="00A179D4">
              <w:rPr>
                <w:rFonts w:ascii="Arial" w:hAnsi="Arial" w:cs="Arial"/>
                <w:b/>
                <w:bCs/>
              </w:rPr>
              <w:t>ITEM</w:t>
            </w:r>
          </w:p>
        </w:tc>
        <w:tc>
          <w:tcPr>
            <w:tcW w:w="2969" w:type="dxa"/>
            <w:tcBorders>
              <w:top w:val="single" w:sz="4" w:space="0" w:color="auto"/>
              <w:left w:val="nil"/>
              <w:bottom w:val="single" w:sz="4" w:space="0" w:color="auto"/>
              <w:right w:val="nil"/>
            </w:tcBorders>
            <w:shd w:val="clear" w:color="auto" w:fill="FFFFFF"/>
            <w:vAlign w:val="center"/>
            <w:hideMark/>
          </w:tcPr>
          <w:p w:rsidR="00FC37D4" w:rsidRPr="00A179D4" w:rsidRDefault="00FC37D4" w:rsidP="00396908">
            <w:pPr>
              <w:jc w:val="center"/>
              <w:rPr>
                <w:rFonts w:ascii="Arial" w:hAnsi="Arial" w:cs="Arial"/>
                <w:b/>
                <w:bCs/>
              </w:rPr>
            </w:pPr>
            <w:r w:rsidRPr="00A179D4">
              <w:rPr>
                <w:rFonts w:ascii="Arial" w:hAnsi="Arial" w:cs="Arial"/>
                <w:b/>
                <w:bCs/>
              </w:rPr>
              <w:t>DESCRIÇÃO</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7D4" w:rsidRPr="00A179D4" w:rsidRDefault="00FC37D4" w:rsidP="00396908">
            <w:pPr>
              <w:jc w:val="center"/>
              <w:rPr>
                <w:rFonts w:ascii="Arial" w:hAnsi="Arial" w:cs="Arial"/>
                <w:b/>
                <w:bCs/>
              </w:rPr>
            </w:pPr>
            <w:r w:rsidRPr="00A179D4">
              <w:rPr>
                <w:rFonts w:ascii="Arial" w:hAnsi="Arial" w:cs="Arial"/>
                <w:b/>
                <w:bCs/>
              </w:rPr>
              <w:t>UNID</w:t>
            </w:r>
          </w:p>
        </w:tc>
        <w:tc>
          <w:tcPr>
            <w:tcW w:w="1668" w:type="dxa"/>
            <w:tcBorders>
              <w:top w:val="single" w:sz="4" w:space="0" w:color="auto"/>
              <w:left w:val="nil"/>
              <w:bottom w:val="single" w:sz="4" w:space="0" w:color="auto"/>
              <w:right w:val="single" w:sz="4" w:space="0" w:color="auto"/>
            </w:tcBorders>
            <w:shd w:val="clear" w:color="auto" w:fill="FFFFFF"/>
          </w:tcPr>
          <w:p w:rsidR="00FC37D4" w:rsidRPr="00A179D4" w:rsidRDefault="00FC37D4" w:rsidP="00396908">
            <w:pPr>
              <w:jc w:val="center"/>
              <w:rPr>
                <w:rFonts w:ascii="Arial" w:hAnsi="Arial" w:cs="Arial"/>
                <w:b/>
                <w:bCs/>
              </w:rPr>
            </w:pPr>
            <w:r w:rsidRPr="00A179D4">
              <w:rPr>
                <w:rFonts w:ascii="Arial" w:hAnsi="Arial" w:cs="Arial"/>
                <w:b/>
                <w:bCs/>
              </w:rPr>
              <w:t xml:space="preserve">MARCA </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C37D4" w:rsidRPr="00A179D4" w:rsidRDefault="00FC37D4" w:rsidP="00396908">
            <w:pPr>
              <w:jc w:val="center"/>
              <w:rPr>
                <w:rFonts w:ascii="Arial" w:hAnsi="Arial" w:cs="Arial"/>
                <w:b/>
                <w:bCs/>
              </w:rPr>
            </w:pPr>
            <w:r w:rsidRPr="00A179D4">
              <w:rPr>
                <w:rFonts w:ascii="Arial" w:hAnsi="Arial" w:cs="Arial"/>
                <w:b/>
                <w:bCs/>
              </w:rPr>
              <w:t>QTDE</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FC37D4" w:rsidRPr="00A179D4" w:rsidRDefault="00FC37D4" w:rsidP="00396908">
            <w:pPr>
              <w:jc w:val="center"/>
              <w:rPr>
                <w:rFonts w:ascii="Arial" w:hAnsi="Arial" w:cs="Arial"/>
                <w:b/>
                <w:bCs/>
              </w:rPr>
            </w:pPr>
            <w:r w:rsidRPr="00A179D4">
              <w:rPr>
                <w:rFonts w:ascii="Arial" w:hAnsi="Arial" w:cs="Arial"/>
                <w:b/>
                <w:bCs/>
              </w:rPr>
              <w:t>PREÇO UNIT.</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37D4" w:rsidRPr="00A179D4" w:rsidRDefault="00FC37D4" w:rsidP="00396908">
            <w:pPr>
              <w:jc w:val="center"/>
              <w:rPr>
                <w:rFonts w:ascii="Arial" w:hAnsi="Arial" w:cs="Arial"/>
                <w:b/>
                <w:bCs/>
              </w:rPr>
            </w:pPr>
            <w:r w:rsidRPr="00A179D4">
              <w:rPr>
                <w:rFonts w:ascii="Arial" w:hAnsi="Arial" w:cs="Arial"/>
                <w:b/>
                <w:bCs/>
              </w:rPr>
              <w:t>PREÇO TOTAL</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Apagador para quadro branco</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6</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Apontador, lápis; tipo simples; plástico; com base de fixação; cilindro </w:t>
            </w:r>
            <w:r w:rsidRPr="00A179D4">
              <w:rPr>
                <w:rFonts w:cs="Arial"/>
              </w:rPr>
              <w:lastRenderedPageBreak/>
              <w:t>navalha; depósito para serragem; com guia; para lápis de 8mm de diâmetro;</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lastRenderedPageBreak/>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400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0,78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312,00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lastRenderedPageBreak/>
              <w:t>7</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Arquivo morto </w:t>
            </w:r>
            <w:proofErr w:type="spellStart"/>
            <w:r w:rsidRPr="00A179D4">
              <w:rPr>
                <w:rFonts w:cs="Arial"/>
              </w:rPr>
              <w:t>polionda</w:t>
            </w:r>
            <w:proofErr w:type="spellEnd"/>
            <w:r w:rsidRPr="00A179D4">
              <w:rPr>
                <w:rFonts w:cs="Arial"/>
              </w:rPr>
              <w:t xml:space="preserve"> 360x250x135 com cores variadas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ALLAPLAST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3,14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1.570,00 </w:t>
            </w:r>
          </w:p>
        </w:tc>
      </w:tr>
      <w:tr w:rsidR="00396908" w:rsidRPr="00A179D4" w:rsidTr="00396908">
        <w:trPr>
          <w:trHeight w:val="13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16</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bCs/>
                <w:color w:val="000000"/>
              </w:rPr>
            </w:pPr>
            <w:r w:rsidRPr="00A179D4">
              <w:rPr>
                <w:rFonts w:cs="Arial"/>
                <w:bCs/>
                <w:color w:val="000000"/>
              </w:rPr>
              <w:t>BATERIA CR2032</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bCs/>
                <w:color w:val="000000"/>
              </w:rPr>
            </w:pPr>
            <w:r w:rsidRPr="00A179D4">
              <w:rPr>
                <w:rFonts w:cs="Arial"/>
                <w:bCs/>
                <w:color w:val="000000"/>
              </w:rPr>
              <w:t>UND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bCs/>
              </w:rPr>
            </w:pPr>
            <w:r w:rsidRPr="00A179D4">
              <w:rPr>
                <w:rFonts w:cs="Arial"/>
                <w:bCs/>
              </w:rPr>
              <w:t>ELGN</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bCs/>
              </w:rPr>
            </w:pPr>
            <w:r w:rsidRPr="00A179D4">
              <w:rPr>
                <w:rFonts w:cs="Arial"/>
                <w:bCs/>
              </w:rPr>
              <w:t>10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21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Borracha, lápis e tinta; consistência dura-mole; formato retangular com pontas biseladas; caixa com 40 unidades; Cor: Azul e vermelha.</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MASTERPRINT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15063</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1.800,00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26</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Caderno capa dura 10 matérias em espiral</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3B</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9,20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920,00 </w:t>
            </w:r>
          </w:p>
        </w:tc>
      </w:tr>
      <w:tr w:rsidR="00396908" w:rsidRPr="00A179D4" w:rsidTr="00396908">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27</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color w:val="000000"/>
              </w:rPr>
            </w:pPr>
            <w:r w:rsidRPr="00A179D4">
              <w:rPr>
                <w:rFonts w:cs="Arial"/>
                <w:color w:val="000000"/>
              </w:rPr>
              <w:t xml:space="preserve">Caderno capa dura pequeno 96 folhas - várias cores, </w:t>
            </w:r>
            <w:proofErr w:type="spellStart"/>
            <w:r w:rsidRPr="00A179D4">
              <w:rPr>
                <w:rFonts w:cs="Arial"/>
                <w:color w:val="000000"/>
              </w:rPr>
              <w:t>cx</w:t>
            </w:r>
            <w:proofErr w:type="spellEnd"/>
            <w:r w:rsidRPr="00A179D4">
              <w:rPr>
                <w:rFonts w:cs="Arial"/>
                <w:color w:val="000000"/>
              </w:rPr>
              <w:t xml:space="preserve"> c/ 40 unid.</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rPr>
            </w:pPr>
            <w:r w:rsidRPr="00A179D4">
              <w:rPr>
                <w:rFonts w:cs="Arial"/>
              </w:rPr>
              <w:t>3B</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10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117,00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1.170,00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42</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Cartolina comum cores variadas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PEL</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0,35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175,00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44</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pStyle w:val="Ttulo1"/>
              <w:rPr>
                <w:rFonts w:ascii="Times New Roman" w:hAnsi="Times New Roman"/>
                <w:b w:val="0"/>
                <w:color w:val="303030"/>
                <w:sz w:val="24"/>
                <w:szCs w:val="24"/>
              </w:rPr>
            </w:pPr>
            <w:r w:rsidRPr="00A179D4">
              <w:rPr>
                <w:rFonts w:asciiTheme="minorHAnsi" w:hAnsiTheme="minorHAnsi" w:cs="Arial"/>
                <w:b w:val="0"/>
                <w:color w:val="303030"/>
                <w:sz w:val="24"/>
                <w:szCs w:val="24"/>
              </w:rPr>
              <w:t> </w:t>
            </w:r>
            <w:r w:rsidRPr="00A179D4">
              <w:rPr>
                <w:rFonts w:ascii="Times New Roman" w:hAnsi="Times New Roman"/>
                <w:b w:val="0"/>
                <w:color w:val="303030"/>
                <w:sz w:val="24"/>
                <w:szCs w:val="24"/>
              </w:rPr>
              <w:t>Cola Instantânea de artesãos Nº2</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color w:val="000000"/>
              </w:rPr>
            </w:pPr>
            <w:r w:rsidRPr="00A179D4">
              <w:rPr>
                <w:color w:val="000000"/>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color w:val="000000"/>
              </w:rPr>
            </w:pPr>
            <w:r w:rsidRPr="00A179D4">
              <w:rPr>
                <w:color w:val="000000"/>
              </w:rPr>
              <w:t>BRW</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color w:val="000000"/>
              </w:rPr>
            </w:pPr>
            <w:r w:rsidRPr="00A179D4">
              <w:rPr>
                <w:color w:val="000000"/>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5,00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250,00 </w:t>
            </w:r>
          </w:p>
        </w:tc>
      </w:tr>
      <w:tr w:rsidR="00396908" w:rsidRPr="00A179D4" w:rsidTr="00396908">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45</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Clips 2.0 </w:t>
            </w:r>
            <w:proofErr w:type="spellStart"/>
            <w:r w:rsidRPr="00A179D4">
              <w:rPr>
                <w:rFonts w:cs="Arial"/>
              </w:rPr>
              <w:t>cx</w:t>
            </w:r>
            <w:proofErr w:type="spellEnd"/>
            <w:r w:rsidRPr="00A179D4">
              <w:rPr>
                <w:rFonts w:cs="Arial"/>
              </w:rPr>
              <w:t xml:space="preserve"> com 100</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XR</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1,27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63,50 </w:t>
            </w:r>
          </w:p>
        </w:tc>
      </w:tr>
      <w:tr w:rsidR="00396908" w:rsidRPr="00A179D4" w:rsidTr="00396908">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46</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Clips 3.0 </w:t>
            </w:r>
            <w:proofErr w:type="spellStart"/>
            <w:r w:rsidRPr="00A179D4">
              <w:rPr>
                <w:rFonts w:cs="Arial"/>
              </w:rPr>
              <w:t>cx</w:t>
            </w:r>
            <w:proofErr w:type="spellEnd"/>
            <w:r w:rsidRPr="00A179D4">
              <w:rPr>
                <w:rFonts w:cs="Arial"/>
              </w:rPr>
              <w:t xml:space="preserve"> com 100</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XR</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1,30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65,00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48</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Clips de aço com acabamento niquelado 8 com 180 </w:t>
            </w:r>
            <w:proofErr w:type="spellStart"/>
            <w:r w:rsidRPr="00A179D4">
              <w:rPr>
                <w:rFonts w:cs="Arial"/>
              </w:rPr>
              <w:t>unid</w:t>
            </w:r>
            <w:proofErr w:type="spellEnd"/>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XR</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7,00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51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 xml:space="preserve">Clips para papel em aço niquelado nº 4 com 100 </w:t>
            </w:r>
            <w:proofErr w:type="spellStart"/>
            <w:r w:rsidRPr="00A179D4">
              <w:rPr>
                <w:rFonts w:cs="Arial"/>
              </w:rPr>
              <w:t>unds</w:t>
            </w:r>
            <w:proofErr w:type="spellEnd"/>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XR</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30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1,60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48,00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55</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rPr>
            </w:pPr>
            <w:r w:rsidRPr="00A179D4">
              <w:rPr>
                <w:rFonts w:cs="Arial"/>
              </w:rPr>
              <w:t>Cola branca tubo pequeno - 90GR</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rPr>
            </w:pPr>
            <w:r w:rsidRPr="00A179D4">
              <w:rPr>
                <w:rFonts w:cs="Arial"/>
              </w:rPr>
              <w:t>PLAHACINHO</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500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1,15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575,00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62</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Fita adesiva de diversas cores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TUBO</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ADELBRAS</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0,52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26,00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66</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Envelope médio amarelo ouro medindo 18,5x25 unidade</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IPCOL</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0,18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90,00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67</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Envelope ouro para correspondência 260x360 cm C/ 100 UNID</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IPCOL</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28,89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1.444,50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lastRenderedPageBreak/>
              <w:t>80</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Filtro de linha para 3 tomadas elétricas compatíveis com padrão nacional, porta fusível, modelo tipo régua conforme NBR 12349</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MYAMAX</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18,00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900,00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81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Fita adesiva com dimensões 50mmx50m, polipropileno, na cor transparente</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ADELBRAS</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2,99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448,50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83</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rPr>
            </w:pPr>
            <w:r w:rsidRPr="00A179D4">
              <w:rPr>
                <w:rFonts w:cs="Arial"/>
              </w:rPr>
              <w:t>Fita dupla face</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UND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rPr>
            </w:pPr>
            <w:r w:rsidRPr="00A179D4">
              <w:rPr>
                <w:rFonts w:cs="Arial"/>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3,90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390,00 </w:t>
            </w:r>
          </w:p>
        </w:tc>
      </w:tr>
      <w:tr w:rsidR="00396908" w:rsidRPr="00A179D4" w:rsidTr="00396908">
        <w:trPr>
          <w:trHeight w:val="432"/>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97</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Grampo de plástico para pasta suspensa ou encadernação, embalagem com 50 unidades. Tamanho 8x1cm.</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DLLO</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30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7,50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225,00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98</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 xml:space="preserve">Grampo galvanizado cor metálico 26/6 </w:t>
            </w:r>
            <w:proofErr w:type="spellStart"/>
            <w:r w:rsidRPr="00A179D4">
              <w:rPr>
                <w:rFonts w:cs="Arial"/>
                <w:color w:val="000000" w:themeColor="text1"/>
              </w:rPr>
              <w:t>Cx</w:t>
            </w:r>
            <w:proofErr w:type="spellEnd"/>
            <w:r w:rsidRPr="00A179D4">
              <w:rPr>
                <w:rFonts w:cs="Arial"/>
                <w:color w:val="000000" w:themeColor="text1"/>
              </w:rPr>
              <w:t xml:space="preserve"> c/5000 unidades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40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140,00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103</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Grampo, grampeador cobreado para grampeadores de mesa, ref. 26/6, Emb. Caixa c/5000.</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20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2,88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57,60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104</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Lâmina para estilete largo</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40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0,35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14,00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105</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spacing w:line="360" w:lineRule="auto"/>
              <w:jc w:val="both"/>
              <w:rPr>
                <w:rFonts w:cs="Arial"/>
                <w:color w:val="000000" w:themeColor="text1"/>
              </w:rPr>
            </w:pPr>
            <w:r w:rsidRPr="00A179D4">
              <w:rPr>
                <w:rFonts w:cs="Arial"/>
                <w:color w:val="000000" w:themeColor="text1"/>
              </w:rPr>
              <w:t xml:space="preserve">Lantejoulas - composta de </w:t>
            </w:r>
            <w:proofErr w:type="spellStart"/>
            <w:r w:rsidRPr="00A179D4">
              <w:rPr>
                <w:rFonts w:cs="Arial"/>
                <w:color w:val="000000" w:themeColor="text1"/>
              </w:rPr>
              <w:t>particulas</w:t>
            </w:r>
            <w:proofErr w:type="spellEnd"/>
            <w:r w:rsidRPr="00A179D4">
              <w:rPr>
                <w:rFonts w:cs="Arial"/>
                <w:color w:val="000000" w:themeColor="text1"/>
              </w:rPr>
              <w:t xml:space="preserve"> de </w:t>
            </w:r>
            <w:proofErr w:type="spellStart"/>
            <w:r w:rsidRPr="00A179D4">
              <w:rPr>
                <w:rFonts w:cs="Arial"/>
                <w:color w:val="000000" w:themeColor="text1"/>
              </w:rPr>
              <w:t>pvc</w:t>
            </w:r>
            <w:proofErr w:type="spellEnd"/>
            <w:r w:rsidRPr="00A179D4">
              <w:rPr>
                <w:rFonts w:cs="Arial"/>
                <w:color w:val="000000" w:themeColor="text1"/>
              </w:rPr>
              <w:t xml:space="preserve"> metalizado, no formato sextavado, no tamanho 6mm, acondicionado em embalagem adequada, na cor em cores variadas. </w:t>
            </w:r>
            <w:proofErr w:type="gramStart"/>
            <w:r w:rsidRPr="00A179D4">
              <w:rPr>
                <w:rFonts w:cs="Arial"/>
                <w:color w:val="000000" w:themeColor="text1"/>
              </w:rPr>
              <w:t>pacote</w:t>
            </w:r>
            <w:proofErr w:type="gramEnd"/>
            <w:r w:rsidRPr="00A179D4">
              <w:rPr>
                <w:rFonts w:cs="Arial"/>
                <w:color w:val="000000" w:themeColor="text1"/>
              </w:rPr>
              <w:t xml:space="preserve"> com 500 grama</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PACOTE</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110</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Livro ponto grande com 100 folhas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SÃO DOMINGO</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116</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Papel camurça nas medidas mínima 40x60cm cores variadas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RST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300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0,60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180,00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118</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 xml:space="preserve">Papel cartão 50x70 cm embalagem com 10 </w:t>
            </w:r>
            <w:proofErr w:type="spellStart"/>
            <w:r w:rsidRPr="00A179D4">
              <w:rPr>
                <w:rFonts w:cs="Arial"/>
                <w:color w:val="000000" w:themeColor="text1"/>
              </w:rPr>
              <w:t>fls</w:t>
            </w:r>
            <w:proofErr w:type="spellEnd"/>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RST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7,50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375,00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121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Papel crepom cores variadas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RST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200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lastRenderedPageBreak/>
              <w:t>124</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Papel laminado com superfície de aparência metálica cores diversas 48x50cm</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RST</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250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0,60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130</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rPr>
            </w:pPr>
            <w:r w:rsidRPr="00A179D4">
              <w:rPr>
                <w:rFonts w:cs="Arial"/>
                <w:color w:val="000000"/>
              </w:rPr>
              <w:t>Papel pardo Kraft p/ esterilização 60 cm</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rPr>
            </w:pPr>
            <w:r w:rsidRPr="00A179D4">
              <w:rPr>
                <w:rFonts w:cs="Arial"/>
                <w:color w:val="000000"/>
              </w:rPr>
              <w:t>ROLO</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rPr>
            </w:pPr>
            <w:r w:rsidRPr="00A179D4">
              <w:rPr>
                <w:rFonts w:cs="Arial"/>
                <w:color w:val="000000"/>
              </w:rPr>
              <w:t>PSP</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rPr>
            </w:pPr>
            <w:r w:rsidRPr="00A179D4">
              <w:rPr>
                <w:rFonts w:cs="Arial"/>
                <w:color w:val="000000"/>
              </w:rPr>
              <w:t>50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30,00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132</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Pasta aba com elástico cartão duplex</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FRAMA</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134</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Pasta catálogo capa de papelão revestido em plástico, com 100 plásticos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ACP</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137</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Pasta com canaleta PC-7, A-4 transparente.</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ACP</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1,34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134,00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138</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Pasta L A4</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ACP</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70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0,53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37,10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141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Pasta suspensa, em fibra marmorizada e plastificada</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POLICARTY</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800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1.200,00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145</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Perfurador, papel, aço estampado; base de plástico c/depósito p/aparas; Distância entre furos: 70/80mm;</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30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15,00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450,00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164</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color w:val="000000" w:themeColor="text1"/>
              </w:rPr>
            </w:pPr>
            <w:proofErr w:type="spellStart"/>
            <w:r w:rsidRPr="00A179D4">
              <w:rPr>
                <w:rFonts w:cs="Arial"/>
                <w:color w:val="000000" w:themeColor="text1"/>
              </w:rPr>
              <w:t>Pirografo</w:t>
            </w:r>
            <w:proofErr w:type="spellEnd"/>
            <w:r w:rsidRPr="00A179D4">
              <w:rPr>
                <w:rFonts w:cs="Arial"/>
                <w:color w:val="000000" w:themeColor="text1"/>
              </w:rPr>
              <w:t xml:space="preserve"> para escrever em madeira</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UND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GTS</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10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46,00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460,00 </w:t>
            </w:r>
          </w:p>
        </w:tc>
      </w:tr>
      <w:tr w:rsidR="00396908" w:rsidRPr="00A179D4" w:rsidTr="00396908">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168</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color w:val="000000" w:themeColor="text1"/>
              </w:rPr>
            </w:pPr>
            <w:r w:rsidRPr="00A179D4">
              <w:rPr>
                <w:rFonts w:cs="Arial"/>
                <w:color w:val="000000" w:themeColor="text1"/>
              </w:rPr>
              <w:t xml:space="preserve">Porta papel acrílico 240 x 320 </w:t>
            </w:r>
            <w:proofErr w:type="spellStart"/>
            <w:r w:rsidRPr="00A179D4">
              <w:rPr>
                <w:rFonts w:cs="Arial"/>
                <w:color w:val="000000" w:themeColor="text1"/>
              </w:rPr>
              <w:t>tres</w:t>
            </w:r>
            <w:proofErr w:type="spellEnd"/>
            <w:r w:rsidRPr="00A179D4">
              <w:rPr>
                <w:rFonts w:cs="Arial"/>
                <w:color w:val="000000" w:themeColor="text1"/>
              </w:rPr>
              <w:t xml:space="preserve"> andares</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UND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DLLO</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color w:val="000000" w:themeColor="text1"/>
              </w:rPr>
            </w:pPr>
            <w:r w:rsidRPr="00A179D4">
              <w:rPr>
                <w:rFonts w:cs="Arial"/>
                <w:color w:val="000000" w:themeColor="text1"/>
              </w:rPr>
              <w:t>20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39,00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780,00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169</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Prancheta em acrílico 240x320 com prendedor para papel</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DLLO</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10,87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1.087,00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170</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rPr>
            </w:pPr>
            <w:r w:rsidRPr="00A179D4">
              <w:rPr>
                <w:rFonts w:cs="Arial"/>
                <w:color w:val="000000"/>
              </w:rPr>
              <w:t>Régua 30 cm</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rPr>
            </w:pPr>
            <w:r w:rsidRPr="00A179D4">
              <w:rPr>
                <w:rFonts w:cs="Arial"/>
                <w:color w:val="000000"/>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rPr>
            </w:pPr>
            <w:r w:rsidRPr="00A179D4">
              <w:rPr>
                <w:rFonts w:cs="Arial"/>
                <w:color w:val="000000"/>
              </w:rPr>
              <w:t>DLLO</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rPr>
            </w:pPr>
            <w:r w:rsidRPr="00A179D4">
              <w:rPr>
                <w:rFonts w:cs="Arial"/>
                <w:color w:val="000000"/>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0,50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177</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spacing w:line="360" w:lineRule="auto"/>
              <w:rPr>
                <w:rFonts w:cs="Arial"/>
              </w:rPr>
            </w:pPr>
            <w:r w:rsidRPr="00A179D4">
              <w:rPr>
                <w:rFonts w:cs="Arial"/>
              </w:rPr>
              <w:t>Tesoura para picotar tamanho grande</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spacing w:line="360" w:lineRule="auto"/>
              <w:jc w:val="center"/>
              <w:rPr>
                <w:rFonts w:cs="Arial"/>
              </w:rPr>
            </w:pPr>
            <w:r w:rsidRPr="00A179D4">
              <w:rPr>
                <w:rFonts w:cs="Arial"/>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spacing w:line="360" w:lineRule="auto"/>
              <w:jc w:val="center"/>
              <w:rPr>
                <w:rFonts w:cs="Arial"/>
              </w:rPr>
            </w:pPr>
            <w:r w:rsidRPr="00A179D4">
              <w:rPr>
                <w:rFonts w:cs="Arial"/>
              </w:rPr>
              <w:t>10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23,00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230,00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179</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 xml:space="preserve">Tinta guache </w:t>
            </w:r>
            <w:proofErr w:type="spellStart"/>
            <w:r w:rsidRPr="00A179D4">
              <w:rPr>
                <w:rFonts w:cs="Arial"/>
                <w:color w:val="000000" w:themeColor="text1"/>
              </w:rPr>
              <w:t>cx</w:t>
            </w:r>
            <w:proofErr w:type="spellEnd"/>
            <w:r w:rsidRPr="00A179D4">
              <w:rPr>
                <w:rFonts w:cs="Arial"/>
                <w:color w:val="000000" w:themeColor="text1"/>
              </w:rPr>
              <w:t xml:space="preserve"> c/ 06 </w:t>
            </w:r>
            <w:proofErr w:type="spellStart"/>
            <w:r w:rsidRPr="00A179D4">
              <w:rPr>
                <w:rFonts w:cs="Arial"/>
                <w:color w:val="000000" w:themeColor="text1"/>
              </w:rPr>
              <w:t>unds</w:t>
            </w:r>
            <w:proofErr w:type="spellEnd"/>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BRW</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100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2,50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250,00 </w:t>
            </w:r>
          </w:p>
        </w:tc>
      </w:tr>
      <w:tr w:rsidR="00396908" w:rsidRPr="00A179D4" w:rsidTr="00396908">
        <w:trPr>
          <w:trHeight w:val="284"/>
          <w:jc w:val="center"/>
        </w:trPr>
        <w:tc>
          <w:tcPr>
            <w:tcW w:w="714" w:type="dxa"/>
            <w:tcBorders>
              <w:top w:val="nil"/>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181</w:t>
            </w:r>
          </w:p>
        </w:tc>
        <w:tc>
          <w:tcPr>
            <w:tcW w:w="2969" w:type="dxa"/>
            <w:tcBorders>
              <w:top w:val="nil"/>
              <w:left w:val="nil"/>
              <w:bottom w:val="single" w:sz="4" w:space="0" w:color="auto"/>
              <w:right w:val="nil"/>
            </w:tcBorders>
            <w:shd w:val="clear" w:color="auto" w:fill="FFFFFF"/>
            <w:vAlign w:val="center"/>
            <w:hideMark/>
          </w:tcPr>
          <w:p w:rsidR="00396908" w:rsidRPr="00A179D4" w:rsidRDefault="00396908" w:rsidP="00396908">
            <w:pPr>
              <w:rPr>
                <w:rFonts w:cs="Arial"/>
              </w:rPr>
            </w:pPr>
            <w:r w:rsidRPr="00A179D4">
              <w:rPr>
                <w:rFonts w:cs="Arial"/>
              </w:rPr>
              <w:t>Tinta para tecido 37ml cores variadas</w:t>
            </w:r>
          </w:p>
        </w:tc>
        <w:tc>
          <w:tcPr>
            <w:tcW w:w="99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UNID</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rPr>
            </w:pPr>
            <w:r w:rsidRPr="00A179D4">
              <w:rPr>
                <w:rFonts w:cs="Arial"/>
              </w:rPr>
              <w:t>ARILEX</w:t>
            </w:r>
          </w:p>
        </w:tc>
        <w:tc>
          <w:tcPr>
            <w:tcW w:w="1056" w:type="dxa"/>
            <w:tcBorders>
              <w:top w:val="nil"/>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rPr>
            </w:pPr>
            <w:r w:rsidRPr="00A179D4">
              <w:rPr>
                <w:rFonts w:cs="Arial"/>
              </w:rPr>
              <w:t>500</w:t>
            </w:r>
          </w:p>
        </w:tc>
        <w:tc>
          <w:tcPr>
            <w:tcW w:w="992" w:type="dxa"/>
            <w:tcBorders>
              <w:top w:val="nil"/>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2,55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1.275,00 </w:t>
            </w:r>
          </w:p>
        </w:tc>
      </w:tr>
      <w:tr w:rsidR="00396908" w:rsidRPr="00A179D4" w:rsidTr="00396908">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96908" w:rsidRPr="00A179D4" w:rsidRDefault="00396908" w:rsidP="00396908">
            <w:pPr>
              <w:jc w:val="right"/>
              <w:rPr>
                <w:rFonts w:ascii="Calibri" w:hAnsi="Calibri"/>
                <w:color w:val="000000"/>
              </w:rPr>
            </w:pPr>
            <w:r w:rsidRPr="00A179D4">
              <w:rPr>
                <w:rFonts w:ascii="Calibri" w:hAnsi="Calibri"/>
                <w:color w:val="000000"/>
              </w:rPr>
              <w:t>188</w:t>
            </w:r>
          </w:p>
        </w:tc>
        <w:tc>
          <w:tcPr>
            <w:tcW w:w="2969" w:type="dxa"/>
            <w:tcBorders>
              <w:top w:val="single" w:sz="4" w:space="0" w:color="auto"/>
              <w:left w:val="nil"/>
              <w:bottom w:val="single" w:sz="4" w:space="0" w:color="auto"/>
              <w:right w:val="nil"/>
            </w:tcBorders>
            <w:shd w:val="clear" w:color="auto" w:fill="FFFFFF"/>
            <w:vAlign w:val="center"/>
            <w:hideMark/>
          </w:tcPr>
          <w:p w:rsidR="00396908" w:rsidRPr="00A179D4" w:rsidRDefault="00396908" w:rsidP="00396908">
            <w:pPr>
              <w:rPr>
                <w:rFonts w:cs="Arial"/>
                <w:color w:val="000000" w:themeColor="text1"/>
              </w:rPr>
            </w:pPr>
            <w:r w:rsidRPr="00A179D4">
              <w:rPr>
                <w:rFonts w:cs="Arial"/>
                <w:color w:val="000000" w:themeColor="text1"/>
              </w:rPr>
              <w:t xml:space="preserve">Etiqueta 182 BR 33.9x101.6 c/ 100 </w:t>
            </w:r>
            <w:proofErr w:type="spellStart"/>
            <w:r w:rsidRPr="00A179D4">
              <w:rPr>
                <w:rFonts w:cs="Arial"/>
                <w:color w:val="000000" w:themeColor="text1"/>
              </w:rPr>
              <w:t>fls</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CX</w:t>
            </w:r>
          </w:p>
        </w:tc>
        <w:tc>
          <w:tcPr>
            <w:tcW w:w="1668" w:type="dxa"/>
            <w:tcBorders>
              <w:top w:val="single" w:sz="4" w:space="0" w:color="auto"/>
              <w:left w:val="nil"/>
              <w:bottom w:val="single" w:sz="4" w:space="0" w:color="auto"/>
              <w:right w:val="single" w:sz="4" w:space="0" w:color="auto"/>
            </w:tcBorders>
            <w:shd w:val="clear" w:color="auto" w:fill="FFFFFF"/>
          </w:tcPr>
          <w:p w:rsidR="00396908" w:rsidRPr="00A179D4" w:rsidRDefault="00396908" w:rsidP="00396908">
            <w:pPr>
              <w:jc w:val="center"/>
              <w:rPr>
                <w:rFonts w:cs="Arial"/>
                <w:color w:val="000000" w:themeColor="text1"/>
              </w:rPr>
            </w:pPr>
            <w:r w:rsidRPr="00A179D4">
              <w:rPr>
                <w:rFonts w:cs="Arial"/>
                <w:color w:val="000000" w:themeColor="text1"/>
              </w:rPr>
              <w:t>IMPRIMASTER</w:t>
            </w: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96908" w:rsidRPr="00A179D4" w:rsidRDefault="00396908" w:rsidP="00396908">
            <w:pPr>
              <w:jc w:val="center"/>
              <w:rPr>
                <w:rFonts w:cs="Arial"/>
                <w:color w:val="000000" w:themeColor="text1"/>
              </w:rPr>
            </w:pPr>
            <w:r w:rsidRPr="00A179D4">
              <w:rPr>
                <w:rFonts w:cs="Arial"/>
                <w:color w:val="000000" w:themeColor="text1"/>
              </w:rPr>
              <w:t>50</w:t>
            </w:r>
          </w:p>
        </w:tc>
        <w:tc>
          <w:tcPr>
            <w:tcW w:w="992" w:type="dxa"/>
            <w:tcBorders>
              <w:top w:val="single" w:sz="4" w:space="0" w:color="auto"/>
              <w:left w:val="nil"/>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35,00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396908" w:rsidRPr="00A179D4" w:rsidRDefault="00396908" w:rsidP="00396908">
            <w:pPr>
              <w:rPr>
                <w:rFonts w:ascii="Calibri" w:hAnsi="Calibri"/>
                <w:color w:val="000000"/>
              </w:rPr>
            </w:pPr>
            <w:r w:rsidRPr="00A179D4">
              <w:rPr>
                <w:rFonts w:ascii="Calibri" w:hAnsi="Calibri"/>
                <w:color w:val="000000"/>
              </w:rPr>
              <w:t xml:space="preserve"> R$       1.750,00 </w:t>
            </w:r>
          </w:p>
        </w:tc>
      </w:tr>
      <w:tr w:rsidR="008C3F7A" w:rsidRPr="00A179D4" w:rsidTr="008C3F7A">
        <w:trPr>
          <w:trHeight w:val="284"/>
          <w:jc w:val="center"/>
        </w:trPr>
        <w:tc>
          <w:tcPr>
            <w:tcW w:w="71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FC37D4" w:rsidRPr="00A179D4" w:rsidRDefault="00FC37D4" w:rsidP="00396908">
            <w:pPr>
              <w:jc w:val="right"/>
              <w:rPr>
                <w:rFonts w:ascii="Calibri" w:hAnsi="Calibri"/>
                <w:color w:val="000000"/>
              </w:rPr>
            </w:pPr>
          </w:p>
        </w:tc>
        <w:tc>
          <w:tcPr>
            <w:tcW w:w="2969" w:type="dxa"/>
            <w:tcBorders>
              <w:top w:val="single" w:sz="4" w:space="0" w:color="auto"/>
              <w:left w:val="nil"/>
              <w:bottom w:val="single" w:sz="4" w:space="0" w:color="auto"/>
              <w:right w:val="nil"/>
            </w:tcBorders>
            <w:shd w:val="clear" w:color="auto" w:fill="FFFFFF"/>
            <w:vAlign w:val="center"/>
            <w:hideMark/>
          </w:tcPr>
          <w:p w:rsidR="00FC37D4" w:rsidRPr="00A179D4" w:rsidRDefault="00FC37D4" w:rsidP="00396908">
            <w:pPr>
              <w:rPr>
                <w:rFonts w:cs="Arial"/>
              </w:rPr>
            </w:pPr>
            <w:r w:rsidRPr="00A179D4">
              <w:rPr>
                <w:rFonts w:cs="Arial"/>
              </w:rPr>
              <w:t>TOTAL</w:t>
            </w:r>
          </w:p>
        </w:tc>
        <w:tc>
          <w:tcPr>
            <w:tcW w:w="99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37D4" w:rsidRPr="00A179D4" w:rsidRDefault="00FC37D4" w:rsidP="00396908">
            <w:pPr>
              <w:jc w:val="center"/>
              <w:rPr>
                <w:rFonts w:cs="Arial"/>
              </w:rPr>
            </w:pPr>
          </w:p>
        </w:tc>
        <w:tc>
          <w:tcPr>
            <w:tcW w:w="1668" w:type="dxa"/>
            <w:tcBorders>
              <w:top w:val="single" w:sz="4" w:space="0" w:color="auto"/>
              <w:left w:val="nil"/>
              <w:bottom w:val="single" w:sz="4" w:space="0" w:color="auto"/>
              <w:right w:val="single" w:sz="4" w:space="0" w:color="auto"/>
            </w:tcBorders>
            <w:shd w:val="clear" w:color="auto" w:fill="FFFFFF"/>
          </w:tcPr>
          <w:p w:rsidR="00FC37D4" w:rsidRPr="00A179D4" w:rsidRDefault="00FC37D4" w:rsidP="00396908">
            <w:pPr>
              <w:jc w:val="center"/>
              <w:rPr>
                <w:rFonts w:cs="Arial"/>
              </w:rPr>
            </w:pPr>
          </w:p>
        </w:tc>
        <w:tc>
          <w:tcPr>
            <w:tcW w:w="105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FC37D4" w:rsidRPr="00A179D4" w:rsidRDefault="00FC37D4" w:rsidP="00396908">
            <w:pPr>
              <w:jc w:val="center"/>
              <w:rPr>
                <w:rFonts w:cs="Arial"/>
              </w:rPr>
            </w:pPr>
          </w:p>
        </w:tc>
        <w:tc>
          <w:tcPr>
            <w:tcW w:w="992" w:type="dxa"/>
            <w:tcBorders>
              <w:top w:val="single" w:sz="4" w:space="0" w:color="auto"/>
              <w:left w:val="nil"/>
              <w:bottom w:val="single" w:sz="4" w:space="0" w:color="auto"/>
              <w:right w:val="single" w:sz="4" w:space="0" w:color="auto"/>
            </w:tcBorders>
            <w:shd w:val="clear" w:color="auto" w:fill="FFFFFF"/>
            <w:vAlign w:val="center"/>
            <w:hideMark/>
          </w:tcPr>
          <w:p w:rsidR="00FC37D4" w:rsidRPr="00A179D4" w:rsidRDefault="00FC37D4" w:rsidP="00396908">
            <w:pPr>
              <w:jc w:val="center"/>
              <w:rPr>
                <w:rFonts w:ascii="Calibri" w:hAnsi="Calibri"/>
                <w:color w:val="000000"/>
              </w:rPr>
            </w:pPr>
            <w:r w:rsidRPr="00A179D4">
              <w:rPr>
                <w:rFonts w:ascii="Calibri" w:hAnsi="Calibri" w:cs="Arial"/>
                <w:color w:val="000000"/>
              </w:rPr>
              <w:t xml:space="preserve"> </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rsidR="00FC37D4" w:rsidRPr="00A179D4" w:rsidRDefault="00396908" w:rsidP="00396908">
            <w:pPr>
              <w:jc w:val="center"/>
              <w:rPr>
                <w:rFonts w:ascii="Calibri" w:hAnsi="Calibri"/>
                <w:b/>
                <w:color w:val="000000"/>
              </w:rPr>
            </w:pPr>
            <w:r w:rsidRPr="00A179D4">
              <w:rPr>
                <w:rFonts w:ascii="Calibri" w:hAnsi="Calibri"/>
                <w:b/>
                <w:color w:val="000000"/>
              </w:rPr>
              <w:t>25.004,20</w:t>
            </w:r>
          </w:p>
        </w:tc>
      </w:tr>
    </w:tbl>
    <w:p w:rsidR="00970046" w:rsidRPr="00A179D4" w:rsidRDefault="00970046" w:rsidP="00702EE0">
      <w:pPr>
        <w:jc w:val="both"/>
        <w:rPr>
          <w:rFonts w:ascii="Arial" w:hAnsi="Arial" w:cs="Arial"/>
          <w:b/>
        </w:rPr>
      </w:pPr>
    </w:p>
    <w:p w:rsidR="001C29D0" w:rsidRPr="00A179D4" w:rsidRDefault="001C29D0" w:rsidP="00702EE0">
      <w:pPr>
        <w:jc w:val="both"/>
        <w:rPr>
          <w:rFonts w:ascii="Arial" w:hAnsi="Arial" w:cs="Arial"/>
        </w:rPr>
      </w:pPr>
    </w:p>
    <w:p w:rsidR="006566B8" w:rsidRPr="00A179D4" w:rsidRDefault="006566B8"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lastRenderedPageBreak/>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96908" w:rsidRPr="00A179D4">
        <w:rPr>
          <w:rFonts w:ascii="Arial" w:hAnsi="Arial" w:cs="Arial"/>
          <w:szCs w:val="24"/>
        </w:rPr>
        <w:t>001/2020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96908" w:rsidRPr="00A179D4">
        <w:rPr>
          <w:rFonts w:ascii="Arial" w:hAnsi="Arial" w:cs="Arial"/>
          <w:szCs w:val="24"/>
        </w:rPr>
        <w:t>1/2020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lastRenderedPageBreak/>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lastRenderedPageBreak/>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por</w:t>
      </w:r>
      <w:proofErr w:type="gramEnd"/>
      <w:r w:rsidRPr="00A179D4">
        <w:rPr>
          <w:rFonts w:ascii="Arial" w:hAnsi="Arial" w:cs="Arial"/>
        </w:rPr>
        <w:t xml:space="preserve">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proofErr w:type="gramStart"/>
      <w:r w:rsidRPr="00A179D4">
        <w:rPr>
          <w:rFonts w:ascii="Arial" w:hAnsi="Arial" w:cs="Arial"/>
        </w:rPr>
        <w:t>der</w:t>
      </w:r>
      <w:proofErr w:type="gramEnd"/>
      <w:r w:rsidRPr="00A179D4">
        <w:rPr>
          <w:rFonts w:ascii="Arial" w:hAnsi="Arial" w:cs="Arial"/>
        </w:rPr>
        <w:t xml:space="preserve">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lastRenderedPageBreak/>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bookmarkStart w:id="0" w:name="_GoBack"/>
      <w:bookmarkEnd w:id="0"/>
      <w:r w:rsidR="00396908" w:rsidRPr="00A179D4">
        <w:rPr>
          <w:rFonts w:ascii="Arial" w:hAnsi="Arial" w:cs="Arial"/>
          <w:color w:val="000000"/>
        </w:rPr>
        <w:t>001</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 xml:space="preserve">edades empresárias: </w:t>
      </w:r>
      <w:r w:rsidR="00396908" w:rsidRPr="00A179D4">
        <w:rPr>
          <w:b/>
        </w:rPr>
        <w:t>F.L. AGUIAR</w:t>
      </w:r>
      <w:r w:rsidR="00396908" w:rsidRPr="00A179D4">
        <w:rPr>
          <w:b/>
          <w:bCs/>
        </w:rPr>
        <w:t xml:space="preserve"> </w:t>
      </w:r>
      <w:r w:rsidR="00702EE0" w:rsidRPr="00A179D4">
        <w:rPr>
          <w:b/>
          <w:bCs/>
        </w:rPr>
        <w:t>-ME</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proofErr w:type="gramStart"/>
      <w:r w:rsidRPr="00A179D4">
        <w:rPr>
          <w:rFonts w:ascii="Arial" w:hAnsi="Arial" w:cs="Arial"/>
          <w:b/>
          <w:szCs w:val="24"/>
        </w:rPr>
        <w:t>3.931</w:t>
      </w:r>
      <w:r w:rsidRPr="00A179D4">
        <w:rPr>
          <w:rFonts w:ascii="Arial" w:hAnsi="Arial" w:cs="Arial"/>
          <w:szCs w:val="24"/>
        </w:rPr>
        <w:t>,de</w:t>
      </w:r>
      <w:proofErr w:type="gramEnd"/>
      <w:r w:rsidRPr="00A179D4">
        <w:rPr>
          <w:rFonts w:ascii="Arial" w:hAnsi="Arial" w:cs="Arial"/>
          <w:szCs w:val="24"/>
        </w:rPr>
        <w:t xml:space="preserv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Pr="00A179D4"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702EE0" w:rsidRPr="00A179D4" w:rsidRDefault="00702EE0" w:rsidP="00702EE0">
      <w:pPr>
        <w:pStyle w:val="Corpodetexto"/>
        <w:rPr>
          <w:b w:val="0"/>
          <w:caps/>
          <w:color w:val="0000FF"/>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702EE0" w:rsidRPr="00A179D4" w:rsidTr="00B13843">
        <w:trPr>
          <w:trHeight w:val="267"/>
        </w:trPr>
        <w:tc>
          <w:tcPr>
            <w:tcW w:w="4116" w:type="dxa"/>
            <w:vAlign w:val="center"/>
          </w:tcPr>
          <w:p w:rsidR="00702EE0" w:rsidRPr="00A179D4" w:rsidRDefault="00702EE0" w:rsidP="00B13843">
            <w:pPr>
              <w:jc w:val="center"/>
            </w:pPr>
            <w:r w:rsidRPr="00A179D4">
              <w:t>DOTAÇÃO</w:t>
            </w:r>
          </w:p>
        </w:tc>
        <w:tc>
          <w:tcPr>
            <w:tcW w:w="5348" w:type="dxa"/>
            <w:vAlign w:val="center"/>
          </w:tcPr>
          <w:p w:rsidR="00702EE0" w:rsidRPr="00A179D4" w:rsidRDefault="00702EE0" w:rsidP="00B13843">
            <w:pPr>
              <w:jc w:val="center"/>
            </w:pPr>
            <w:r w:rsidRPr="00A179D4">
              <w:t>UNIDADE</w:t>
            </w:r>
          </w:p>
        </w:tc>
      </w:tr>
      <w:tr w:rsidR="00396908" w:rsidRPr="00A179D4" w:rsidTr="00B13843">
        <w:trPr>
          <w:trHeight w:val="397"/>
        </w:trPr>
        <w:tc>
          <w:tcPr>
            <w:tcW w:w="4116" w:type="dxa"/>
            <w:vAlign w:val="center"/>
          </w:tcPr>
          <w:p w:rsidR="00396908" w:rsidRPr="00A179D4" w:rsidRDefault="00396908" w:rsidP="00396908">
            <w:r w:rsidRPr="00A179D4">
              <w:t>01.02.01.04.122.0040.2004.3.3.90.30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01.05.08.04.122.0002.2008.3.3.90.30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01.06.01.12.122.0007.2122.3.3.90.30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01.06.01.12.122.0007.2030.3.3.90.30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01.06.01.12.122.0007.2036.3.3.90.30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01.07.04.10.304.0011.2054.3.3.90.30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01.07.04.10.304.0011.2045.3.3.90.30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01.07.04.10.304.0011.2049.3.3.90.30</w:t>
            </w:r>
          </w:p>
        </w:tc>
        <w:tc>
          <w:tcPr>
            <w:tcW w:w="5348" w:type="dxa"/>
            <w:vAlign w:val="center"/>
          </w:tcPr>
          <w:p w:rsidR="00396908" w:rsidRPr="00A179D4" w:rsidRDefault="00396908" w:rsidP="00396908">
            <w:pPr>
              <w:jc w:val="center"/>
            </w:pPr>
            <w:r w:rsidRPr="00A179D4">
              <w:t>MATERIAIS DE CONSUMO</w:t>
            </w:r>
          </w:p>
        </w:tc>
      </w:tr>
      <w:tr w:rsidR="00396908" w:rsidRPr="00A179D4" w:rsidTr="00B13843">
        <w:trPr>
          <w:trHeight w:val="397"/>
        </w:trPr>
        <w:tc>
          <w:tcPr>
            <w:tcW w:w="4116" w:type="dxa"/>
            <w:vAlign w:val="center"/>
          </w:tcPr>
          <w:p w:rsidR="00396908" w:rsidRPr="00A179D4" w:rsidRDefault="00396908" w:rsidP="00396908">
            <w:r w:rsidRPr="00A179D4">
              <w:t>01.08.02.08.244.0013.1127.3.3.90.30</w:t>
            </w:r>
          </w:p>
        </w:tc>
        <w:tc>
          <w:tcPr>
            <w:tcW w:w="5348" w:type="dxa"/>
            <w:vAlign w:val="center"/>
          </w:tcPr>
          <w:p w:rsidR="00396908" w:rsidRPr="00A179D4" w:rsidRDefault="00396908" w:rsidP="00396908">
            <w:pPr>
              <w:jc w:val="center"/>
            </w:pPr>
            <w:r w:rsidRPr="00A179D4">
              <w:t>MATERIAIS DE CONSUMO</w:t>
            </w:r>
          </w:p>
        </w:tc>
      </w:tr>
    </w:tbl>
    <w:p w:rsidR="00970046" w:rsidRPr="00A179D4" w:rsidRDefault="00970046" w:rsidP="00970046">
      <w:pPr>
        <w:rPr>
          <w:rFonts w:ascii="Arial" w:hAnsi="Arial" w:cs="Arial"/>
          <w:b/>
          <w:w w:val="90"/>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Pr="00A179D4" w:rsidRDefault="00970046" w:rsidP="00970046">
      <w:pPr>
        <w:ind w:left="426" w:hanging="426"/>
        <w:jc w:val="both"/>
        <w:rPr>
          <w:rFonts w:ascii="Arial" w:hAnsi="Arial" w:cs="Arial"/>
        </w:rPr>
      </w:pPr>
      <w:r w:rsidRPr="00A179D4">
        <w:rPr>
          <w:rFonts w:ascii="Arial" w:hAnsi="Arial" w:cs="Arial"/>
          <w:b/>
          <w:bCs/>
        </w:rPr>
        <w:t>CLÁUSULA XII - DO FORO</w:t>
      </w: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396908" w:rsidRPr="00A179D4">
        <w:rPr>
          <w:rFonts w:ascii="Arial" w:hAnsi="Arial" w:cs="Arial"/>
        </w:rPr>
        <w:t>10</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702EE0" w:rsidRPr="00A179D4" w:rsidRDefault="00702EE0" w:rsidP="00702EE0">
      <w:pPr>
        <w:suppressAutoHyphens/>
        <w:jc w:val="center"/>
        <w:rPr>
          <w:rFonts w:ascii="Arial" w:hAnsi="Arial" w:cs="Arial"/>
          <w:b/>
          <w:w w:val="99"/>
        </w:rPr>
      </w:pP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970046" w:rsidRPr="00A179D4" w:rsidRDefault="00396908" w:rsidP="00702EE0">
      <w:pPr>
        <w:suppressAutoHyphens/>
        <w:jc w:val="center"/>
        <w:rPr>
          <w:rFonts w:ascii="Arial" w:hAnsi="Arial" w:cs="Arial"/>
        </w:rPr>
      </w:pPr>
      <w:r w:rsidRPr="00A179D4">
        <w:rPr>
          <w:b/>
        </w:rPr>
        <w:t>F.L. AGUIAR</w:t>
      </w:r>
      <w:r w:rsidRPr="00A179D4">
        <w:rPr>
          <w:b/>
          <w:bCs/>
        </w:rPr>
        <w:t xml:space="preserve"> </w:t>
      </w:r>
      <w:r w:rsidR="00702EE0" w:rsidRPr="00A179D4">
        <w:rPr>
          <w:b/>
          <w:bCs/>
        </w:rPr>
        <w:t>-ME</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702EE0" w:rsidRPr="00A179D4" w:rsidRDefault="00702EE0" w:rsidP="00702EE0">
      <w:pPr>
        <w:suppressAutoHyphens/>
        <w:jc w:val="center"/>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rPr>
      </w:pPr>
    </w:p>
    <w:p w:rsidR="00396908" w:rsidRPr="00A179D4" w:rsidRDefault="00396908"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970046" w:rsidRPr="00A179D4" w:rsidRDefault="00970046" w:rsidP="00970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p w:rsidR="00970046" w:rsidRPr="00A179D4" w:rsidRDefault="00970046" w:rsidP="008752E7">
      <w:pPr>
        <w:spacing w:line="360" w:lineRule="auto"/>
        <w:jc w:val="both"/>
      </w:pPr>
    </w:p>
    <w:p w:rsidR="00CF781F" w:rsidRPr="00A179D4" w:rsidRDefault="00CF781F" w:rsidP="008752E7">
      <w:pPr>
        <w:spacing w:line="360" w:lineRule="auto"/>
        <w:jc w:val="both"/>
      </w:pP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08" w:rsidRDefault="00396908">
      <w:r>
        <w:separator/>
      </w:r>
    </w:p>
  </w:endnote>
  <w:endnote w:type="continuationSeparator" w:id="0">
    <w:p w:rsidR="00396908" w:rsidRDefault="0039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Default="003065B9" w:rsidP="006D4C3D">
    <w:pPr>
      <w:pStyle w:val="Rodap"/>
    </w:pPr>
    <w:r>
      <w:pict>
        <v:rect id="_x0000_i1026" style="width:420.25pt;height:3pt" o:hralign="center" o:hrstd="t" o:hrnoshade="t" o:hr="t" fillcolor="black" stroked="f"/>
      </w:pict>
    </w:r>
  </w:p>
  <w:p w:rsidR="00396908" w:rsidRDefault="00396908"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396908" w:rsidRPr="00A13DA9" w:rsidRDefault="00396908"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08" w:rsidRDefault="00396908">
      <w:r>
        <w:separator/>
      </w:r>
    </w:p>
  </w:footnote>
  <w:footnote w:type="continuationSeparator" w:id="0">
    <w:p w:rsidR="00396908" w:rsidRDefault="0039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908" w:rsidRPr="001815D6" w:rsidRDefault="00396908"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396908" w:rsidRPr="001815D6" w:rsidRDefault="00396908"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396908" w:rsidRDefault="00396908"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396908" w:rsidRDefault="003065B9"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3"/>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AA2A-ED5E-404F-B0E8-E1696159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2741</Words>
  <Characters>15427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ELIANE</cp:lastModifiedBy>
  <cp:revision>3</cp:revision>
  <cp:lastPrinted>2019-09-05T14:53:00Z</cp:lastPrinted>
  <dcterms:created xsi:type="dcterms:W3CDTF">2020-02-07T18:41:00Z</dcterms:created>
  <dcterms:modified xsi:type="dcterms:W3CDTF">2020-02-07T19:28:00Z</dcterms:modified>
</cp:coreProperties>
</file>