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Default="00970046" w:rsidP="008752E7">
      <w:pPr>
        <w:spacing w:line="360" w:lineRule="auto"/>
        <w:jc w:val="both"/>
        <w:rPr>
          <w:rFonts w:ascii="Arial" w:hAnsi="Arial" w:cs="Arial"/>
        </w:rPr>
      </w:pPr>
    </w:p>
    <w:p w:rsidR="00CE2120" w:rsidRPr="00A179D4" w:rsidRDefault="00CE2120" w:rsidP="008752E7">
      <w:pPr>
        <w:spacing w:line="360" w:lineRule="auto"/>
        <w:jc w:val="both"/>
        <w:rPr>
          <w:rFonts w:ascii="Arial" w:hAnsi="Arial" w:cs="Arial"/>
        </w:rPr>
      </w:pPr>
    </w:p>
    <w:p w:rsidR="00A179D4" w:rsidRPr="00A179D4" w:rsidRDefault="00A179D4"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E7310A">
        <w:rPr>
          <w:rFonts w:ascii="Arial" w:hAnsi="Arial" w:cs="Arial"/>
          <w:b/>
          <w:u w:val="single"/>
        </w:rPr>
        <w:t xml:space="preserve"> 005</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FC37D4" w:rsidP="00CF781F">
      <w:pPr>
        <w:suppressAutoHyphens/>
        <w:jc w:val="center"/>
        <w:rPr>
          <w:rFonts w:ascii="Arial" w:hAnsi="Arial" w:cs="Arial"/>
          <w:b/>
        </w:rPr>
      </w:pPr>
      <w:r w:rsidRPr="00A179D4">
        <w:rPr>
          <w:rFonts w:ascii="Arial" w:hAnsi="Arial" w:cs="Arial"/>
          <w:b/>
        </w:rPr>
        <w:t>PREGÃO 001/2020</w:t>
      </w:r>
    </w:p>
    <w:p w:rsidR="00970046" w:rsidRPr="00A179D4" w:rsidRDefault="00970046" w:rsidP="00970046">
      <w:pPr>
        <w:suppressAutoHyphens/>
        <w:jc w:val="center"/>
        <w:rPr>
          <w:rFonts w:ascii="Arial" w:hAnsi="Arial" w:cs="Arial"/>
        </w:rPr>
      </w:pP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970046" w:rsidRPr="00A179D4" w:rsidRDefault="00970046" w:rsidP="00970046">
      <w:pPr>
        <w:suppressAutoHyphens/>
        <w:ind w:left="4678"/>
        <w:jc w:val="both"/>
        <w:rPr>
          <w:rFonts w:ascii="Arial" w:hAnsi="Arial" w:cs="Arial"/>
          <w:b/>
        </w:rPr>
      </w:pP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ALEXANDRE RUSS</w:t>
      </w:r>
      <w:r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E7310A" w:rsidRPr="002F728F">
        <w:rPr>
          <w:b/>
        </w:rPr>
        <w:t>MOSAICO DISTRIBUIDORA ATACADO E ELETRONICOS EIRELI,</w:t>
      </w:r>
      <w:r w:rsidR="00E7310A">
        <w:rPr>
          <w:b/>
        </w:rPr>
        <w:t xml:space="preserve"> RUA COMANDANTE COSTA, Nº 14, QUADRA G, BAIRRO CENTRO SUK, VARZEA GRANDE – MT, </w:t>
      </w:r>
      <w:r w:rsidR="00E7310A" w:rsidRPr="00E33F41">
        <w:rPr>
          <w:b/>
        </w:rPr>
        <w:t xml:space="preserve">CEP: </w:t>
      </w:r>
      <w:r w:rsidR="00E7310A">
        <w:rPr>
          <w:b/>
        </w:rPr>
        <w:t>78.125-499</w:t>
      </w:r>
      <w:r w:rsidR="00E7310A" w:rsidRPr="00E33F41">
        <w:rPr>
          <w:b/>
        </w:rPr>
        <w:t>, Inscrita no CNPJ N°.</w:t>
      </w:r>
      <w:r w:rsidR="00E7310A">
        <w:rPr>
          <w:b/>
        </w:rPr>
        <w:t xml:space="preserve"> 26.148.070/0001-85</w:t>
      </w:r>
      <w:r w:rsidR="00E7310A" w:rsidRPr="00E33F41">
        <w:rPr>
          <w:b/>
        </w:rPr>
        <w:t xml:space="preserve"> neste ato representado pelo </w:t>
      </w:r>
      <w:proofErr w:type="spellStart"/>
      <w:r w:rsidR="00E7310A" w:rsidRPr="00E33F41">
        <w:rPr>
          <w:b/>
        </w:rPr>
        <w:t>Sr</w:t>
      </w:r>
      <w:proofErr w:type="spellEnd"/>
      <w:r w:rsidR="00E7310A">
        <w:rPr>
          <w:b/>
        </w:rPr>
        <w:t xml:space="preserve"> VALMIR RODRIGUES PENA</w:t>
      </w:r>
      <w:r w:rsidR="00E7310A" w:rsidRPr="00E33F41">
        <w:rPr>
          <w:b/>
        </w:rPr>
        <w:t xml:space="preserve">, Portador do RG: </w:t>
      </w:r>
      <w:r w:rsidR="00E7310A">
        <w:rPr>
          <w:b/>
        </w:rPr>
        <w:t>1113922-6</w:t>
      </w:r>
      <w:r w:rsidR="00E7310A" w:rsidRPr="00E33F41">
        <w:rPr>
          <w:b/>
        </w:rPr>
        <w:t xml:space="preserve"> SSP/MT e CPF Nº </w:t>
      </w:r>
      <w:r w:rsidR="00E7310A">
        <w:rPr>
          <w:b/>
        </w:rPr>
        <w:t>827.469.071-00</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FC37D4" w:rsidRPr="00A179D4">
        <w:rPr>
          <w:rFonts w:ascii="Arial" w:hAnsi="Arial" w:cs="Arial"/>
        </w:rPr>
        <w:t>001/20120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A179D4">
        <w:rPr>
          <w:rFonts w:ascii="Arial" w:hAnsi="Arial" w:cs="Arial"/>
          <w:b/>
        </w:rPr>
        <w:t xml:space="preserve">objeto o </w:t>
      </w:r>
      <w:r w:rsidR="00FC37D4" w:rsidRPr="00A179D4">
        <w:rPr>
          <w:rFonts w:ascii="Arial" w:hAnsi="Arial" w:cs="Arial"/>
          <w:b/>
          <w:bCs/>
        </w:rPr>
        <w:t xml:space="preserve">“Registro de preços para eventual e futura aquisição de materiais de expediente para todos as secretarias desta prefeitura”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FC37D4" w:rsidRPr="00A179D4">
        <w:rPr>
          <w:rFonts w:ascii="Arial" w:hAnsi="Arial" w:cs="Arial"/>
        </w:rPr>
        <w:t>001/2020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Pr="00A179D4"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3A08BA" w:rsidRPr="00A179D4" w:rsidRDefault="003A08BA" w:rsidP="003A08BA">
      <w:pPr>
        <w:autoSpaceDE w:val="0"/>
        <w:autoSpaceDN w:val="0"/>
        <w:ind w:left="-5"/>
        <w:jc w:val="both"/>
        <w:rPr>
          <w:rFonts w:ascii="Arial" w:hAnsi="Arial" w:cs="Arial"/>
        </w:rPr>
      </w:pPr>
    </w:p>
    <w:tbl>
      <w:tblPr>
        <w:tblW w:w="9918" w:type="dxa"/>
        <w:jc w:val="center"/>
        <w:shd w:val="clear" w:color="auto" w:fill="FFFFFF"/>
        <w:tblCellMar>
          <w:left w:w="70" w:type="dxa"/>
          <w:right w:w="70" w:type="dxa"/>
        </w:tblCellMar>
        <w:tblLook w:val="04A0" w:firstRow="1" w:lastRow="0" w:firstColumn="1" w:lastColumn="0" w:noHBand="0" w:noVBand="1"/>
      </w:tblPr>
      <w:tblGrid>
        <w:gridCol w:w="618"/>
        <w:gridCol w:w="3735"/>
        <w:gridCol w:w="1497"/>
        <w:gridCol w:w="992"/>
        <w:gridCol w:w="736"/>
        <w:gridCol w:w="1085"/>
        <w:gridCol w:w="1255"/>
      </w:tblGrid>
      <w:tr w:rsidR="00BE0FA2" w:rsidTr="008838BB">
        <w:trPr>
          <w:trHeight w:val="284"/>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Pr="009867AE" w:rsidRDefault="00BE0FA2" w:rsidP="008838BB">
            <w:pPr>
              <w:pStyle w:val="PargrafodaLista"/>
              <w:ind w:left="0"/>
              <w:jc w:val="center"/>
              <w:rPr>
                <w:rFonts w:ascii="Arial" w:hAnsi="Arial" w:cs="Arial"/>
                <w:b/>
                <w:bCs/>
                <w:sz w:val="20"/>
                <w:szCs w:val="20"/>
              </w:rPr>
            </w:pPr>
            <w:r w:rsidRPr="009867AE">
              <w:rPr>
                <w:rFonts w:ascii="Arial" w:hAnsi="Arial" w:cs="Arial"/>
                <w:b/>
                <w:bCs/>
                <w:sz w:val="20"/>
                <w:szCs w:val="20"/>
              </w:rPr>
              <w:t>ITEM</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jc w:val="center"/>
              <w:rPr>
                <w:rFonts w:ascii="Arial" w:hAnsi="Arial" w:cs="Arial"/>
                <w:b/>
                <w:bCs/>
                <w:sz w:val="20"/>
                <w:szCs w:val="20"/>
              </w:rPr>
            </w:pPr>
            <w:r>
              <w:rPr>
                <w:rFonts w:ascii="Arial" w:hAnsi="Arial" w:cs="Arial"/>
                <w:b/>
                <w:bCs/>
                <w:sz w:val="20"/>
                <w:szCs w:val="20"/>
              </w:rPr>
              <w:t>DESCRIÇÃO</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rFonts w:ascii="Arial" w:hAnsi="Arial" w:cs="Arial"/>
                <w:b/>
                <w:bCs/>
                <w:sz w:val="20"/>
                <w:szCs w:val="20"/>
              </w:rPr>
            </w:pPr>
            <w:r>
              <w:rPr>
                <w:rFonts w:ascii="Arial" w:hAnsi="Arial" w:cs="Arial"/>
                <w:b/>
                <w:bCs/>
                <w:sz w:val="20"/>
                <w:szCs w:val="20"/>
              </w:rPr>
              <w:t>MARCA</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ascii="Arial" w:hAnsi="Arial" w:cs="Arial"/>
                <w:b/>
                <w:bCs/>
                <w:sz w:val="20"/>
                <w:szCs w:val="20"/>
              </w:rPr>
            </w:pPr>
            <w:r>
              <w:rPr>
                <w:rFonts w:ascii="Arial" w:hAnsi="Arial" w:cs="Arial"/>
                <w:b/>
                <w:bCs/>
                <w:sz w:val="20"/>
                <w:szCs w:val="20"/>
              </w:rPr>
              <w:t>UNID</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ascii="Arial" w:hAnsi="Arial" w:cs="Arial"/>
                <w:b/>
                <w:bCs/>
                <w:sz w:val="20"/>
                <w:szCs w:val="20"/>
              </w:rPr>
            </w:pPr>
            <w:r>
              <w:rPr>
                <w:rFonts w:ascii="Arial" w:hAnsi="Arial" w:cs="Arial"/>
                <w:b/>
                <w:bCs/>
                <w:sz w:val="20"/>
                <w:szCs w:val="20"/>
              </w:rPr>
              <w:t>QTDE</w:t>
            </w:r>
          </w:p>
        </w:tc>
        <w:tc>
          <w:tcPr>
            <w:tcW w:w="1085" w:type="dxa"/>
            <w:tcBorders>
              <w:top w:val="single" w:sz="4" w:space="0" w:color="auto"/>
              <w:left w:val="nil"/>
              <w:bottom w:val="single" w:sz="4" w:space="0" w:color="auto"/>
              <w:right w:val="single" w:sz="4" w:space="0" w:color="auto"/>
            </w:tcBorders>
            <w:shd w:val="clear" w:color="auto" w:fill="FFFFFF"/>
            <w:vAlign w:val="center"/>
            <w:hideMark/>
          </w:tcPr>
          <w:p w:rsidR="00BE0FA2" w:rsidRDefault="00BE0FA2" w:rsidP="008838BB">
            <w:pPr>
              <w:jc w:val="center"/>
              <w:rPr>
                <w:rFonts w:ascii="Arial" w:hAnsi="Arial" w:cs="Arial"/>
                <w:b/>
                <w:bCs/>
                <w:sz w:val="20"/>
                <w:szCs w:val="20"/>
              </w:rPr>
            </w:pPr>
            <w:r>
              <w:rPr>
                <w:rFonts w:ascii="Arial" w:hAnsi="Arial" w:cs="Arial"/>
                <w:b/>
                <w:bCs/>
                <w:sz w:val="20"/>
                <w:szCs w:val="20"/>
              </w:rPr>
              <w:t>PREÇO UNIT.</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0FA2" w:rsidRDefault="00BE0FA2" w:rsidP="008838BB">
            <w:pPr>
              <w:jc w:val="center"/>
              <w:rPr>
                <w:rFonts w:ascii="Arial" w:hAnsi="Arial" w:cs="Arial"/>
                <w:b/>
                <w:bCs/>
                <w:sz w:val="20"/>
                <w:szCs w:val="20"/>
              </w:rPr>
            </w:pPr>
            <w:r>
              <w:rPr>
                <w:rFonts w:ascii="Arial" w:hAnsi="Arial" w:cs="Arial"/>
                <w:b/>
                <w:bCs/>
                <w:sz w:val="20"/>
                <w:szCs w:val="20"/>
              </w:rPr>
              <w:t>PREÇO TOTAL</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Alfinete P/ mapa colorido bola c/50</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2,05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102,50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lastRenderedPageBreak/>
              <w:t>5</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Apagador para quadro negro com tampa</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STALO</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20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3,50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9</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Bandeja acrílica (papeleira), dupla; para acondicionamento de papéis (entrada e saída); tamanho ofício (210 X 297mm).</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ACRINIL</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25</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26,73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668,25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17</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 xml:space="preserve">Bloco </w:t>
            </w:r>
            <w:proofErr w:type="spellStart"/>
            <w:r>
              <w:rPr>
                <w:rFonts w:cs="Arial"/>
                <w:sz w:val="22"/>
                <w:szCs w:val="22"/>
              </w:rPr>
              <w:t>auto-adesivo</w:t>
            </w:r>
            <w:proofErr w:type="spellEnd"/>
            <w:r>
              <w:rPr>
                <w:rFonts w:cs="Arial"/>
                <w:sz w:val="22"/>
                <w:szCs w:val="22"/>
              </w:rPr>
              <w:t xml:space="preserve"> para recado, 50 mmx50, bloco 250 folhas, em neon</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ACRIMET</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PCT</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25</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2,81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70,25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22</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 xml:space="preserve">Caderno (grande) com 200 folhas, </w:t>
            </w:r>
            <w:proofErr w:type="spellStart"/>
            <w:r>
              <w:rPr>
                <w:rFonts w:cs="Arial"/>
                <w:sz w:val="22"/>
                <w:szCs w:val="22"/>
              </w:rPr>
              <w:t>cx</w:t>
            </w:r>
            <w:proofErr w:type="spellEnd"/>
            <w:r>
              <w:rPr>
                <w:rFonts w:cs="Arial"/>
                <w:sz w:val="22"/>
                <w:szCs w:val="22"/>
              </w:rPr>
              <w:t xml:space="preserve"> c/ 05 unid.</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JANDAIA</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60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41,50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2.490,00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30</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Caderno de desenho pequeno</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JANDAIA</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100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1,25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125,00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31</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sz w:val="22"/>
                <w:szCs w:val="22"/>
              </w:rPr>
            </w:pPr>
            <w:r>
              <w:rPr>
                <w:rFonts w:cs="Arial"/>
                <w:color w:val="000000"/>
                <w:sz w:val="22"/>
                <w:szCs w:val="22"/>
              </w:rPr>
              <w:t>Caneta esferográfica com ponta média sextavada, ponta de latão esfera de tungstênio – azul (</w:t>
            </w:r>
            <w:proofErr w:type="spellStart"/>
            <w:r>
              <w:rPr>
                <w:rFonts w:cs="Arial"/>
                <w:color w:val="000000"/>
                <w:sz w:val="22"/>
                <w:szCs w:val="22"/>
              </w:rPr>
              <w:t>cx</w:t>
            </w:r>
            <w:proofErr w:type="spellEnd"/>
            <w:r>
              <w:rPr>
                <w:rFonts w:cs="Arial"/>
                <w:color w:val="000000"/>
                <w:sz w:val="22"/>
                <w:szCs w:val="22"/>
              </w:rPr>
              <w:t xml:space="preserve"> com 50)</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BIC</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color w:val="000000"/>
                <w:sz w:val="22"/>
                <w:szCs w:val="22"/>
              </w:rPr>
              <w:t>20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27,00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540,00 </w:t>
            </w:r>
          </w:p>
        </w:tc>
      </w:tr>
      <w:tr w:rsidR="00BE0FA2" w:rsidTr="008838BB">
        <w:trPr>
          <w:trHeight w:val="284"/>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32</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rPr>
                <w:rFonts w:cs="Arial"/>
                <w:color w:val="000000"/>
                <w:sz w:val="22"/>
                <w:szCs w:val="22"/>
              </w:rPr>
            </w:pPr>
            <w:r>
              <w:rPr>
                <w:rFonts w:cs="Arial"/>
                <w:color w:val="000000"/>
                <w:sz w:val="22"/>
                <w:szCs w:val="22"/>
              </w:rPr>
              <w:t>Caneta esferográfica com ponta média sextavada, ponta de latão esfera de tungstênio – preta (</w:t>
            </w:r>
            <w:proofErr w:type="spellStart"/>
            <w:r>
              <w:rPr>
                <w:rFonts w:cs="Arial"/>
                <w:color w:val="000000"/>
                <w:sz w:val="22"/>
                <w:szCs w:val="22"/>
              </w:rPr>
              <w:t>cx</w:t>
            </w:r>
            <w:proofErr w:type="spellEnd"/>
            <w:r>
              <w:rPr>
                <w:rFonts w:cs="Arial"/>
                <w:color w:val="000000"/>
                <w:sz w:val="22"/>
                <w:szCs w:val="22"/>
              </w:rPr>
              <w:t xml:space="preserve"> com 50)</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sz w:val="22"/>
                <w:szCs w:val="22"/>
              </w:rPr>
            </w:pPr>
            <w:r>
              <w:rPr>
                <w:rFonts w:cs="Arial"/>
                <w:color w:val="000000"/>
                <w:sz w:val="22"/>
                <w:szCs w:val="22"/>
              </w:rPr>
              <w:t>BIC</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color w:val="000000"/>
                <w:sz w:val="22"/>
                <w:szCs w:val="22"/>
              </w:rPr>
              <w:t>CX</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color w:val="000000"/>
                <w:sz w:val="22"/>
                <w:szCs w:val="22"/>
              </w:rPr>
              <w:t>20</w:t>
            </w:r>
          </w:p>
        </w:tc>
        <w:tc>
          <w:tcPr>
            <w:tcW w:w="1085" w:type="dxa"/>
            <w:tcBorders>
              <w:top w:val="single" w:sz="4" w:space="0" w:color="auto"/>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27,00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540,00 </w:t>
            </w:r>
          </w:p>
        </w:tc>
      </w:tr>
      <w:tr w:rsidR="00BE0FA2" w:rsidTr="008838BB">
        <w:trPr>
          <w:trHeight w:val="284"/>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33</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rPr>
                <w:rFonts w:cs="Arial"/>
                <w:color w:val="000000"/>
                <w:sz w:val="22"/>
                <w:szCs w:val="22"/>
              </w:rPr>
            </w:pPr>
            <w:r>
              <w:rPr>
                <w:rFonts w:cs="Arial"/>
                <w:color w:val="000000"/>
                <w:sz w:val="22"/>
                <w:szCs w:val="22"/>
              </w:rPr>
              <w:t>Caneta esferográfica com ponta média sextavada, ponta de latão esfera de tungstênio – vermelha (</w:t>
            </w:r>
            <w:proofErr w:type="spellStart"/>
            <w:r>
              <w:rPr>
                <w:rFonts w:cs="Arial"/>
                <w:color w:val="000000"/>
                <w:sz w:val="22"/>
                <w:szCs w:val="22"/>
              </w:rPr>
              <w:t>cx</w:t>
            </w:r>
            <w:proofErr w:type="spellEnd"/>
            <w:r>
              <w:rPr>
                <w:rFonts w:cs="Arial"/>
                <w:color w:val="000000"/>
                <w:sz w:val="22"/>
                <w:szCs w:val="22"/>
              </w:rPr>
              <w:t xml:space="preserve"> com 50)</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BIC</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sz w:val="22"/>
                <w:szCs w:val="22"/>
              </w:rPr>
              <w:t>CX</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color w:val="000000"/>
                <w:sz w:val="22"/>
                <w:szCs w:val="22"/>
              </w:rPr>
              <w:t>20</w:t>
            </w:r>
          </w:p>
        </w:tc>
        <w:tc>
          <w:tcPr>
            <w:tcW w:w="1085" w:type="dxa"/>
            <w:tcBorders>
              <w:top w:val="single" w:sz="4" w:space="0" w:color="auto"/>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27,00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540,00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37</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pStyle w:val="Ttulo1"/>
              <w:rPr>
                <w:rFonts w:asciiTheme="minorHAnsi" w:hAnsiTheme="minorHAnsi" w:cs="Arial"/>
                <w:b w:val="0"/>
                <w:color w:val="303030"/>
                <w:sz w:val="22"/>
                <w:szCs w:val="22"/>
              </w:rPr>
            </w:pPr>
            <w:r>
              <w:rPr>
                <w:rFonts w:asciiTheme="minorHAnsi" w:hAnsiTheme="minorHAnsi" w:cs="Arial"/>
                <w:b w:val="0"/>
                <w:color w:val="303030"/>
                <w:sz w:val="22"/>
                <w:szCs w:val="22"/>
              </w:rPr>
              <w:t>E.V.A Felpudo</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color w:val="000000"/>
                <w:sz w:val="22"/>
                <w:szCs w:val="22"/>
              </w:rPr>
            </w:pPr>
            <w:r>
              <w:rPr>
                <w:color w:val="000000"/>
                <w:sz w:val="22"/>
                <w:szCs w:val="22"/>
              </w:rPr>
              <w:t>OFF PAPER</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color w:val="000000"/>
                <w:sz w:val="22"/>
                <w:szCs w:val="22"/>
              </w:rPr>
            </w:pPr>
            <w:r>
              <w:rPr>
                <w:color w:val="000000"/>
                <w:sz w:val="22"/>
                <w:szCs w:val="22"/>
              </w:rPr>
              <w:t>UNID</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jc w:val="center"/>
              <w:rPr>
                <w:color w:val="000000"/>
                <w:sz w:val="22"/>
                <w:szCs w:val="22"/>
              </w:rPr>
            </w:pPr>
            <w:r>
              <w:rPr>
                <w:color w:val="000000"/>
                <w:sz w:val="22"/>
                <w:szCs w:val="22"/>
              </w:rPr>
              <w:t>70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3,25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227,50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47</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 xml:space="preserve">Clips 6.0 </w:t>
            </w:r>
            <w:proofErr w:type="spellStart"/>
            <w:r>
              <w:rPr>
                <w:rFonts w:cs="Arial"/>
                <w:sz w:val="22"/>
                <w:szCs w:val="22"/>
              </w:rPr>
              <w:t>cx</w:t>
            </w:r>
            <w:proofErr w:type="spellEnd"/>
            <w:r>
              <w:rPr>
                <w:rFonts w:cs="Arial"/>
                <w:sz w:val="22"/>
                <w:szCs w:val="22"/>
              </w:rPr>
              <w:t xml:space="preserve"> com 100</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NEW</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3,45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172,50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63</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E.V. A comum cores variadas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OFF PAPER</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0,95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475,00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69</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Envelope para correspondência em papel pardo nas dimensões 370x470mm</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SCRITY</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300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0,27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81,00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93</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pStyle w:val="Ttulo1"/>
              <w:rPr>
                <w:rFonts w:ascii="Times New Roman" w:hAnsi="Times New Roman"/>
                <w:b w:val="0"/>
                <w:color w:val="303030"/>
                <w:sz w:val="22"/>
                <w:szCs w:val="22"/>
              </w:rPr>
            </w:pPr>
            <w:r>
              <w:rPr>
                <w:rFonts w:ascii="Times New Roman" w:hAnsi="Times New Roman"/>
                <w:b w:val="0"/>
                <w:color w:val="303030"/>
                <w:sz w:val="22"/>
                <w:szCs w:val="22"/>
              </w:rPr>
              <w:t xml:space="preserve">TNT cores variadas </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sz w:val="22"/>
                <w:szCs w:val="22"/>
              </w:rPr>
            </w:pPr>
            <w:r>
              <w:rPr>
                <w:rFonts w:cs="Arial"/>
                <w:color w:val="000000"/>
                <w:sz w:val="22"/>
                <w:szCs w:val="22"/>
              </w:rPr>
              <w:t>SANTA FE</w:t>
            </w:r>
          </w:p>
          <w:p w:rsidR="00BE0FA2" w:rsidRDefault="00BE0FA2" w:rsidP="008838BB">
            <w:pPr>
              <w:jc w:val="center"/>
              <w:rPr>
                <w:rFonts w:cs="Arial"/>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color w:val="000000"/>
                <w:sz w:val="22"/>
                <w:szCs w:val="22"/>
              </w:rPr>
              <w:t>PEÇA</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sz w:val="22"/>
                <w:szCs w:val="22"/>
              </w:rPr>
            </w:pPr>
            <w:r>
              <w:rPr>
                <w:rFonts w:cs="Arial"/>
                <w:color w:val="000000"/>
                <w:sz w:val="22"/>
                <w:szCs w:val="22"/>
              </w:rPr>
              <w:t>20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49,00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980,00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94</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Grampeador de mesa - até 40 folhas - carga de 200 grampos - utiliza grampos 26/6.</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28,39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1.419,50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96</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Grampeador profissional de mesa de metal, com capacidade para grampear 100 folhas, com dispositivo para remover a base ou afasta-la; Ref.: 23/8, 23/10, 23/13</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JOCAR</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10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3,63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36,30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100</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spacing w:line="360" w:lineRule="auto"/>
              <w:rPr>
                <w:rFonts w:cs="Arial"/>
                <w:color w:val="000000" w:themeColor="text1"/>
                <w:sz w:val="22"/>
                <w:szCs w:val="22"/>
              </w:rPr>
            </w:pPr>
            <w:r>
              <w:rPr>
                <w:rFonts w:cs="Arial"/>
                <w:color w:val="000000" w:themeColor="text1"/>
                <w:sz w:val="22"/>
                <w:szCs w:val="22"/>
              </w:rPr>
              <w:t>Grampo p/ grampeador industrial 23/6</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CHAPARRAU</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20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3,95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79,00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101</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Grampo para grampeador profissional. Aço niquelado. Ref.: 23/8. Embalagem caixa c/ 1.000 grampos.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CHAPARRAU</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3,42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34,20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108</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 xml:space="preserve">Jogo de réguas </w:t>
            </w:r>
            <w:proofErr w:type="gramStart"/>
            <w:r>
              <w:rPr>
                <w:rFonts w:cs="Arial"/>
                <w:color w:val="000000" w:themeColor="text1"/>
                <w:sz w:val="22"/>
                <w:szCs w:val="22"/>
              </w:rPr>
              <w:t>( tipo</w:t>
            </w:r>
            <w:proofErr w:type="gramEnd"/>
            <w:r>
              <w:rPr>
                <w:rFonts w:cs="Arial"/>
                <w:color w:val="000000" w:themeColor="text1"/>
                <w:sz w:val="22"/>
                <w:szCs w:val="22"/>
              </w:rPr>
              <w:t xml:space="preserve"> </w:t>
            </w:r>
            <w:proofErr w:type="spellStart"/>
            <w:r>
              <w:rPr>
                <w:rFonts w:cs="Arial"/>
                <w:color w:val="000000" w:themeColor="text1"/>
                <w:sz w:val="22"/>
                <w:szCs w:val="22"/>
              </w:rPr>
              <w:t>circuferencia</w:t>
            </w:r>
            <w:proofErr w:type="spellEnd"/>
            <w:r>
              <w:rPr>
                <w:rFonts w:cs="Arial"/>
                <w:color w:val="000000" w:themeColor="text1"/>
                <w:sz w:val="22"/>
                <w:szCs w:val="22"/>
              </w:rPr>
              <w:t xml:space="preserve">, triangulo, </w:t>
            </w:r>
            <w:proofErr w:type="spellStart"/>
            <w:r>
              <w:rPr>
                <w:rFonts w:cs="Arial"/>
                <w:color w:val="000000" w:themeColor="text1"/>
                <w:sz w:val="22"/>
                <w:szCs w:val="22"/>
              </w:rPr>
              <w:t>retangulo</w:t>
            </w:r>
            <w:proofErr w:type="spellEnd"/>
            <w:r>
              <w:rPr>
                <w:rFonts w:cs="Arial"/>
                <w:color w:val="000000" w:themeColor="text1"/>
                <w:sz w:val="22"/>
                <w:szCs w:val="22"/>
              </w:rPr>
              <w:t>)</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WALLEU</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7,68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768,00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111</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Livro protocolo de correspondências com 100 folhas numeradas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SÃO DOMINGOS</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26,60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1.330,00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117</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Papel carbono azul CAIXA c/100 UNIDADES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RADEX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12,26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122,60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128</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Papel para desenho A3</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VMP</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BLOCO</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9,50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950,00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lastRenderedPageBreak/>
              <w:t>129</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Papel para dobradura colorido 50x60 cores diversas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VMP</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30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7,90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237,00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133</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Pasta arquivo registrador de A-Z Lombo estreito tamanho oficio em papelão</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POLYCART</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500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1,40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700,00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136</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Pasta com abas e elástico no tamanho ofício na cor preta</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POLYCART</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200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2,20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440,00 </w:t>
            </w:r>
          </w:p>
        </w:tc>
      </w:tr>
      <w:tr w:rsidR="00BE0FA2" w:rsidTr="008838BB">
        <w:trPr>
          <w:trHeight w:val="284"/>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139</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 xml:space="preserve">Pasta </w:t>
            </w:r>
            <w:proofErr w:type="spellStart"/>
            <w:r>
              <w:rPr>
                <w:rFonts w:cs="Arial"/>
                <w:color w:val="000000" w:themeColor="text1"/>
                <w:sz w:val="22"/>
                <w:szCs w:val="22"/>
              </w:rPr>
              <w:t>polionda</w:t>
            </w:r>
            <w:proofErr w:type="spellEnd"/>
            <w:r>
              <w:rPr>
                <w:rFonts w:cs="Arial"/>
                <w:color w:val="000000" w:themeColor="text1"/>
                <w:sz w:val="22"/>
                <w:szCs w:val="22"/>
              </w:rPr>
              <w:t xml:space="preserve"> 2cm mas 240x350mm cores diversas</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POLIBRAS</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UNID</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50</w:t>
            </w:r>
          </w:p>
        </w:tc>
        <w:tc>
          <w:tcPr>
            <w:tcW w:w="1085" w:type="dxa"/>
            <w:tcBorders>
              <w:top w:val="single" w:sz="4" w:space="0" w:color="auto"/>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1,27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63,50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142</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 xml:space="preserve">Percevejo de metal c/100 </w:t>
            </w:r>
            <w:proofErr w:type="spellStart"/>
            <w:r>
              <w:rPr>
                <w:rFonts w:cs="Arial"/>
                <w:sz w:val="22"/>
                <w:szCs w:val="22"/>
              </w:rPr>
              <w:t>unds</w:t>
            </w:r>
            <w:proofErr w:type="spellEnd"/>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BAXMANN</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30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60,19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1.805,70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144</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spacing w:line="360" w:lineRule="auto"/>
              <w:rPr>
                <w:rFonts w:cs="Arial"/>
                <w:sz w:val="22"/>
                <w:szCs w:val="22"/>
              </w:rPr>
            </w:pPr>
            <w:r>
              <w:rPr>
                <w:rFonts w:cs="Arial"/>
                <w:sz w:val="22"/>
                <w:szCs w:val="22"/>
              </w:rPr>
              <w:t>PERFURADOR METÁLICO PARA PERFURAR 50 FOLHAS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spacing w:line="360" w:lineRule="auto"/>
              <w:jc w:val="center"/>
              <w:rPr>
                <w:rFonts w:cs="Arial"/>
                <w:sz w:val="22"/>
                <w:szCs w:val="22"/>
              </w:rPr>
            </w:pPr>
            <w:r>
              <w:rPr>
                <w:rFonts w:cs="Arial"/>
                <w:sz w:val="22"/>
                <w:szCs w:val="22"/>
              </w:rPr>
              <w:t>JOCAR</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sz w:val="22"/>
                <w:szCs w:val="22"/>
              </w:rPr>
            </w:pPr>
            <w:r>
              <w:rPr>
                <w:rFonts w:cs="Arial"/>
                <w:sz w:val="22"/>
                <w:szCs w:val="22"/>
              </w:rPr>
              <w:t>UND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sz w:val="22"/>
                <w:szCs w:val="22"/>
              </w:rPr>
            </w:pPr>
            <w:r>
              <w:rPr>
                <w:rFonts w:cs="Arial"/>
                <w:sz w:val="22"/>
                <w:szCs w:val="22"/>
              </w:rPr>
              <w:t>25</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1,14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28,50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147</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Pincéis para pintura em tecido nº 10</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 xml:space="preserve">LEO </w:t>
            </w:r>
            <w:proofErr w:type="spellStart"/>
            <w:r>
              <w:rPr>
                <w:rFonts w:cs="Arial"/>
                <w:color w:val="000000" w:themeColor="text1"/>
                <w:sz w:val="22"/>
                <w:szCs w:val="22"/>
              </w:rPr>
              <w:t>LEO</w:t>
            </w:r>
            <w:proofErr w:type="spellEnd"/>
            <w:r>
              <w:rPr>
                <w:rFonts w:cs="Arial"/>
                <w:color w:val="000000" w:themeColor="text1"/>
                <w:sz w:val="22"/>
                <w:szCs w:val="22"/>
              </w:rPr>
              <w:t xml:space="preserve"> </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1,24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124,00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148</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12</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r>
              <w:rPr>
                <w:rFonts w:cs="Arial"/>
                <w:sz w:val="22"/>
                <w:szCs w:val="22"/>
              </w:rPr>
              <w:t xml:space="preserve"> </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1,43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71,50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149</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14</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1,50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75,00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150</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16</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1,65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82,50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151</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18</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0,95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47,50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152</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2</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1,96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98,00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153</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20</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1,01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50,50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154</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6</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1,05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52,50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155</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Pincéis para pintura em tecido nº 8</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 xml:space="preserve">LEO </w:t>
            </w:r>
            <w:proofErr w:type="spellStart"/>
            <w:r>
              <w:rPr>
                <w:rFonts w:cs="Arial"/>
                <w:sz w:val="22"/>
                <w:szCs w:val="22"/>
              </w:rPr>
              <w:t>LEO</w:t>
            </w:r>
            <w:proofErr w:type="spellEnd"/>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650,00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157</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 xml:space="preserve">Pincel atômico vermelho </w:t>
            </w:r>
            <w:proofErr w:type="spellStart"/>
            <w:r>
              <w:rPr>
                <w:rFonts w:cs="Arial"/>
                <w:sz w:val="22"/>
                <w:szCs w:val="22"/>
              </w:rPr>
              <w:t>cx</w:t>
            </w:r>
            <w:proofErr w:type="spellEnd"/>
            <w:r>
              <w:rPr>
                <w:rFonts w:cs="Arial"/>
                <w:sz w:val="22"/>
                <w:szCs w:val="22"/>
              </w:rPr>
              <w:t xml:space="preserve"> c/12</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650,00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158</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 xml:space="preserve">Pincel atômico; em </w:t>
            </w:r>
            <w:proofErr w:type="spellStart"/>
            <w:r>
              <w:rPr>
                <w:rFonts w:cs="Arial"/>
                <w:color w:val="000000" w:themeColor="text1"/>
                <w:sz w:val="22"/>
                <w:szCs w:val="22"/>
              </w:rPr>
              <w:t>baquelite</w:t>
            </w:r>
            <w:proofErr w:type="spellEnd"/>
            <w:r>
              <w:rPr>
                <w:rFonts w:cs="Arial"/>
                <w:color w:val="000000" w:themeColor="text1"/>
                <w:sz w:val="22"/>
                <w:szCs w:val="22"/>
              </w:rPr>
              <w:t>; com tinta: embalagem: caixa com 12 unidades Cor Azul;</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159</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 xml:space="preserve">Pincel atômico; em </w:t>
            </w:r>
            <w:proofErr w:type="spellStart"/>
            <w:r>
              <w:rPr>
                <w:rFonts w:cs="Arial"/>
                <w:color w:val="000000" w:themeColor="text1"/>
                <w:sz w:val="22"/>
                <w:szCs w:val="22"/>
              </w:rPr>
              <w:t>baquelite</w:t>
            </w:r>
            <w:proofErr w:type="spellEnd"/>
            <w:r>
              <w:rPr>
                <w:rFonts w:cs="Arial"/>
                <w:color w:val="000000" w:themeColor="text1"/>
                <w:sz w:val="22"/>
                <w:szCs w:val="22"/>
              </w:rPr>
              <w:t>; com tinta; embalagem: caixa com 12 unidades; Cor Preta;</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130,00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160</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 xml:space="preserve">Pincel atômico; em </w:t>
            </w:r>
            <w:proofErr w:type="spellStart"/>
            <w:r>
              <w:rPr>
                <w:rFonts w:cs="Arial"/>
                <w:color w:val="000000" w:themeColor="text1"/>
                <w:sz w:val="22"/>
                <w:szCs w:val="22"/>
              </w:rPr>
              <w:t>baquelite</w:t>
            </w:r>
            <w:proofErr w:type="spellEnd"/>
            <w:r>
              <w:rPr>
                <w:rFonts w:cs="Arial"/>
                <w:color w:val="000000" w:themeColor="text1"/>
                <w:sz w:val="22"/>
                <w:szCs w:val="22"/>
              </w:rPr>
              <w:t>; com tinta; embalagem: caixa com 12 unidades; Cor Vermelha;</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CX</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10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11,85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118,50 </w:t>
            </w:r>
          </w:p>
        </w:tc>
      </w:tr>
      <w:tr w:rsidR="00BE0FA2" w:rsidTr="008838BB">
        <w:trPr>
          <w:trHeight w:val="807"/>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166</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spacing w:line="360" w:lineRule="auto"/>
              <w:rPr>
                <w:rFonts w:cs="Arial"/>
                <w:sz w:val="22"/>
                <w:szCs w:val="22"/>
              </w:rPr>
            </w:pPr>
            <w:r>
              <w:rPr>
                <w:rFonts w:cs="Arial"/>
                <w:sz w:val="22"/>
                <w:szCs w:val="22"/>
              </w:rPr>
              <w:t>Pistola p/cola quente bivolt tamanho grande</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spacing w:line="360" w:lineRule="auto"/>
              <w:jc w:val="center"/>
              <w:rPr>
                <w:rFonts w:cs="Arial"/>
                <w:sz w:val="22"/>
                <w:szCs w:val="22"/>
              </w:rPr>
            </w:pPr>
            <w:r>
              <w:rPr>
                <w:rFonts w:cs="Arial"/>
                <w:sz w:val="22"/>
                <w:szCs w:val="22"/>
              </w:rPr>
              <w:t>VMP</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sz w:val="22"/>
                <w:szCs w:val="22"/>
              </w:rPr>
            </w:pPr>
            <w:r>
              <w:rPr>
                <w:rFonts w:cs="Arial"/>
                <w:sz w:val="22"/>
                <w:szCs w:val="22"/>
              </w:rPr>
              <w:t>UND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sz w:val="22"/>
                <w:szCs w:val="22"/>
              </w:rPr>
            </w:pPr>
            <w:r>
              <w:rPr>
                <w:rFonts w:cs="Arial"/>
                <w:sz w:val="22"/>
                <w:szCs w:val="22"/>
              </w:rPr>
              <w:t>50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4,26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213,00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175</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color w:val="000000" w:themeColor="text1"/>
                <w:sz w:val="22"/>
                <w:szCs w:val="22"/>
              </w:rPr>
            </w:pPr>
            <w:r>
              <w:rPr>
                <w:rFonts w:cs="Arial"/>
                <w:color w:val="000000" w:themeColor="text1"/>
                <w:sz w:val="22"/>
                <w:szCs w:val="22"/>
              </w:rPr>
              <w:t>Tesoura grande aço inox p/costura</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color w:val="000000" w:themeColor="text1"/>
                <w:sz w:val="22"/>
                <w:szCs w:val="22"/>
              </w:rPr>
            </w:pPr>
            <w:r>
              <w:rPr>
                <w:rFonts w:cs="Arial"/>
                <w:color w:val="000000" w:themeColor="text1"/>
                <w:sz w:val="22"/>
                <w:szCs w:val="22"/>
              </w:rPr>
              <w:t>LYKE</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color w:val="000000" w:themeColor="text1"/>
                <w:sz w:val="22"/>
                <w:szCs w:val="22"/>
              </w:rPr>
            </w:pPr>
            <w:r>
              <w:rPr>
                <w:rFonts w:cs="Arial"/>
                <w:color w:val="000000" w:themeColor="text1"/>
                <w:sz w:val="22"/>
                <w:szCs w:val="22"/>
              </w:rPr>
              <w:t>20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1,53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30,60 </w:t>
            </w:r>
          </w:p>
        </w:tc>
      </w:tr>
      <w:tr w:rsidR="00BE0FA2" w:rsidTr="008838BB">
        <w:trPr>
          <w:trHeight w:val="506"/>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176</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spacing w:line="360" w:lineRule="auto"/>
              <w:rPr>
                <w:rFonts w:cs="Arial"/>
                <w:color w:val="000000" w:themeColor="text1"/>
                <w:sz w:val="22"/>
                <w:szCs w:val="22"/>
              </w:rPr>
            </w:pPr>
            <w:r>
              <w:rPr>
                <w:rFonts w:cs="Arial"/>
                <w:color w:val="000000" w:themeColor="text1"/>
                <w:sz w:val="22"/>
                <w:szCs w:val="22"/>
              </w:rPr>
              <w:t xml:space="preserve">Tesoura multiuso de aço </w:t>
            </w:r>
            <w:proofErr w:type="spellStart"/>
            <w:r>
              <w:rPr>
                <w:rFonts w:cs="Arial"/>
                <w:color w:val="000000" w:themeColor="text1"/>
                <w:sz w:val="22"/>
                <w:szCs w:val="22"/>
              </w:rPr>
              <w:t>inxdavel</w:t>
            </w:r>
            <w:proofErr w:type="spellEnd"/>
            <w:r>
              <w:rPr>
                <w:rFonts w:cs="Arial"/>
                <w:color w:val="000000" w:themeColor="text1"/>
                <w:sz w:val="22"/>
                <w:szCs w:val="22"/>
              </w:rPr>
              <w:t xml:space="preserve"> p. </w:t>
            </w:r>
            <w:proofErr w:type="spellStart"/>
            <w:r>
              <w:rPr>
                <w:rFonts w:cs="Arial"/>
                <w:color w:val="000000" w:themeColor="text1"/>
                <w:sz w:val="22"/>
                <w:szCs w:val="22"/>
              </w:rPr>
              <w:t>arrendondada</w:t>
            </w:r>
            <w:proofErr w:type="spellEnd"/>
            <w:r>
              <w:rPr>
                <w:rFonts w:cs="Arial"/>
                <w:color w:val="000000" w:themeColor="text1"/>
                <w:sz w:val="22"/>
                <w:szCs w:val="22"/>
              </w:rPr>
              <w:t xml:space="preserve"> – tipo escolar</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 xml:space="preserve">LEO </w:t>
            </w:r>
            <w:proofErr w:type="spellStart"/>
            <w:r>
              <w:rPr>
                <w:rFonts w:cs="Arial"/>
                <w:color w:val="000000" w:themeColor="text1"/>
                <w:sz w:val="22"/>
                <w:szCs w:val="22"/>
              </w:rPr>
              <w:t>LEO</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UND</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300</w:t>
            </w:r>
          </w:p>
        </w:tc>
        <w:tc>
          <w:tcPr>
            <w:tcW w:w="1085" w:type="dxa"/>
            <w:tcBorders>
              <w:top w:val="single" w:sz="4" w:space="0" w:color="auto"/>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11,50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3.450,00 </w:t>
            </w:r>
          </w:p>
        </w:tc>
      </w:tr>
      <w:tr w:rsidR="00907E3E" w:rsidTr="008838BB">
        <w:trPr>
          <w:trHeight w:val="506"/>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07E3E" w:rsidRDefault="00907E3E" w:rsidP="008838BB">
            <w:pPr>
              <w:jc w:val="right"/>
              <w:rPr>
                <w:rFonts w:ascii="Calibri" w:hAnsi="Calibri"/>
                <w:color w:val="000000"/>
                <w:sz w:val="22"/>
                <w:szCs w:val="22"/>
              </w:rPr>
            </w:pPr>
            <w:r>
              <w:rPr>
                <w:rFonts w:ascii="Calibri" w:hAnsi="Calibri"/>
                <w:color w:val="000000"/>
                <w:sz w:val="22"/>
                <w:szCs w:val="22"/>
              </w:rPr>
              <w:lastRenderedPageBreak/>
              <w:t>178</w:t>
            </w:r>
          </w:p>
        </w:tc>
        <w:tc>
          <w:tcPr>
            <w:tcW w:w="3735" w:type="dxa"/>
            <w:tcBorders>
              <w:top w:val="single" w:sz="4" w:space="0" w:color="auto"/>
              <w:left w:val="nil"/>
              <w:bottom w:val="single" w:sz="4" w:space="0" w:color="auto"/>
              <w:right w:val="nil"/>
            </w:tcBorders>
            <w:shd w:val="clear" w:color="auto" w:fill="FFFFFF"/>
            <w:vAlign w:val="center"/>
          </w:tcPr>
          <w:p w:rsidR="00907E3E" w:rsidRDefault="00907E3E" w:rsidP="008838BB">
            <w:pPr>
              <w:spacing w:line="360" w:lineRule="auto"/>
              <w:rPr>
                <w:rFonts w:cs="Arial"/>
                <w:color w:val="000000" w:themeColor="text1"/>
                <w:sz w:val="22"/>
                <w:szCs w:val="22"/>
              </w:rPr>
            </w:pPr>
            <w:r>
              <w:rPr>
                <w:rFonts w:cs="Arial"/>
                <w:color w:val="000000" w:themeColor="text1"/>
                <w:sz w:val="22"/>
                <w:szCs w:val="22"/>
              </w:rPr>
              <w:t>Tinta facial cores variadas</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907E3E" w:rsidRDefault="00907E3E" w:rsidP="008838BB">
            <w:pPr>
              <w:spacing w:line="360" w:lineRule="auto"/>
              <w:jc w:val="center"/>
              <w:rPr>
                <w:rFonts w:cs="Arial"/>
                <w:color w:val="000000" w:themeColor="text1"/>
                <w:sz w:val="22"/>
                <w:szCs w:val="22"/>
              </w:rPr>
            </w:pPr>
            <w:r>
              <w:rPr>
                <w:rFonts w:cs="Arial"/>
                <w:color w:val="000000" w:themeColor="text1"/>
                <w:sz w:val="22"/>
                <w:szCs w:val="22"/>
              </w:rPr>
              <w:t>MARIPEL</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07E3E" w:rsidRDefault="00907E3E" w:rsidP="008838BB">
            <w:pPr>
              <w:spacing w:line="360" w:lineRule="auto"/>
              <w:jc w:val="center"/>
              <w:rPr>
                <w:rFonts w:cs="Arial"/>
                <w:color w:val="000000" w:themeColor="text1"/>
                <w:sz w:val="22"/>
                <w:szCs w:val="22"/>
              </w:rPr>
            </w:pPr>
            <w:r>
              <w:rPr>
                <w:rFonts w:cs="Arial"/>
                <w:color w:val="000000" w:themeColor="text1"/>
                <w:sz w:val="22"/>
                <w:szCs w:val="22"/>
              </w:rPr>
              <w:t>CX</w:t>
            </w:r>
          </w:p>
        </w:tc>
        <w:tc>
          <w:tcPr>
            <w:tcW w:w="736" w:type="dxa"/>
            <w:tcBorders>
              <w:top w:val="single" w:sz="4" w:space="0" w:color="auto"/>
              <w:left w:val="nil"/>
              <w:bottom w:val="single" w:sz="4" w:space="0" w:color="auto"/>
              <w:right w:val="single" w:sz="4" w:space="0" w:color="auto"/>
            </w:tcBorders>
            <w:shd w:val="clear" w:color="auto" w:fill="FFFFFF"/>
            <w:noWrap/>
            <w:vAlign w:val="center"/>
          </w:tcPr>
          <w:p w:rsidR="00907E3E" w:rsidRDefault="00907E3E" w:rsidP="008838BB">
            <w:pPr>
              <w:spacing w:line="360" w:lineRule="auto"/>
              <w:jc w:val="center"/>
              <w:rPr>
                <w:rFonts w:cs="Arial"/>
                <w:color w:val="000000" w:themeColor="text1"/>
                <w:sz w:val="22"/>
                <w:szCs w:val="22"/>
              </w:rPr>
            </w:pPr>
            <w:r>
              <w:rPr>
                <w:rFonts w:cs="Arial"/>
                <w:color w:val="000000" w:themeColor="text1"/>
                <w:sz w:val="22"/>
                <w:szCs w:val="22"/>
              </w:rPr>
              <w:t>50</w:t>
            </w:r>
          </w:p>
        </w:tc>
        <w:tc>
          <w:tcPr>
            <w:tcW w:w="1085" w:type="dxa"/>
            <w:tcBorders>
              <w:top w:val="single" w:sz="4" w:space="0" w:color="auto"/>
              <w:left w:val="nil"/>
              <w:bottom w:val="single" w:sz="4" w:space="0" w:color="auto"/>
              <w:right w:val="single" w:sz="4" w:space="0" w:color="auto"/>
            </w:tcBorders>
            <w:shd w:val="clear" w:color="auto" w:fill="FFFFFF"/>
            <w:vAlign w:val="bottom"/>
          </w:tcPr>
          <w:p w:rsidR="00907E3E" w:rsidRDefault="00907E3E" w:rsidP="008838BB">
            <w:pPr>
              <w:rPr>
                <w:rFonts w:ascii="Calibri" w:hAnsi="Calibri"/>
                <w:color w:val="000000"/>
                <w:sz w:val="22"/>
                <w:szCs w:val="22"/>
              </w:rPr>
            </w:pPr>
            <w:r>
              <w:rPr>
                <w:rFonts w:ascii="Calibri" w:hAnsi="Calibri"/>
                <w:color w:val="000000"/>
                <w:sz w:val="22"/>
                <w:szCs w:val="22"/>
              </w:rPr>
              <w:t>R$ 11,50</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tcPr>
          <w:p w:rsidR="00907E3E" w:rsidRDefault="00907E3E" w:rsidP="008838BB">
            <w:pPr>
              <w:rPr>
                <w:rFonts w:ascii="Calibri" w:hAnsi="Calibri"/>
                <w:color w:val="000000"/>
                <w:sz w:val="22"/>
                <w:szCs w:val="22"/>
              </w:rPr>
            </w:pPr>
            <w:r>
              <w:rPr>
                <w:rFonts w:ascii="Calibri" w:hAnsi="Calibri"/>
                <w:color w:val="000000"/>
                <w:sz w:val="22"/>
                <w:szCs w:val="22"/>
              </w:rPr>
              <w:t>R$ 575,00</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183</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spacing w:line="360" w:lineRule="auto"/>
              <w:rPr>
                <w:rFonts w:cs="Arial"/>
                <w:color w:val="000000" w:themeColor="text1"/>
                <w:sz w:val="22"/>
                <w:szCs w:val="22"/>
              </w:rPr>
            </w:pPr>
            <w:r>
              <w:rPr>
                <w:rFonts w:cs="Arial"/>
                <w:color w:val="000000" w:themeColor="text1"/>
                <w:sz w:val="22"/>
                <w:szCs w:val="22"/>
              </w:rPr>
              <w:t>Tinta spray cores variadas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TEK BOND</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spacing w:line="360" w:lineRule="auto"/>
              <w:jc w:val="center"/>
              <w:rPr>
                <w:rFonts w:cs="Arial"/>
                <w:color w:val="000000" w:themeColor="text1"/>
                <w:sz w:val="22"/>
                <w:szCs w:val="22"/>
              </w:rPr>
            </w:pPr>
            <w:r>
              <w:rPr>
                <w:rFonts w:cs="Arial"/>
                <w:color w:val="000000" w:themeColor="text1"/>
                <w:sz w:val="22"/>
                <w:szCs w:val="22"/>
              </w:rPr>
              <w:t>100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11,83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1.183,00 </w:t>
            </w:r>
          </w:p>
        </w:tc>
      </w:tr>
      <w:tr w:rsidR="00BE0FA2" w:rsidTr="008838BB">
        <w:trPr>
          <w:trHeight w:val="284"/>
          <w:jc w:val="center"/>
        </w:trPr>
        <w:tc>
          <w:tcPr>
            <w:tcW w:w="618" w:type="dxa"/>
            <w:tcBorders>
              <w:top w:val="nil"/>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190</w:t>
            </w:r>
          </w:p>
        </w:tc>
        <w:tc>
          <w:tcPr>
            <w:tcW w:w="3735" w:type="dxa"/>
            <w:tcBorders>
              <w:top w:val="nil"/>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Caderno espiral formato universitário 10 matérias (10x1) 200 folhas</w:t>
            </w:r>
          </w:p>
        </w:tc>
        <w:tc>
          <w:tcPr>
            <w:tcW w:w="1497" w:type="dxa"/>
            <w:tcBorders>
              <w:top w:val="nil"/>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JANDAIA</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UNID</w:t>
            </w:r>
          </w:p>
        </w:tc>
        <w:tc>
          <w:tcPr>
            <w:tcW w:w="736" w:type="dxa"/>
            <w:tcBorders>
              <w:top w:val="nil"/>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200</w:t>
            </w:r>
          </w:p>
        </w:tc>
        <w:tc>
          <w:tcPr>
            <w:tcW w:w="1085" w:type="dxa"/>
            <w:tcBorders>
              <w:top w:val="nil"/>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9,48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1.896,00 </w:t>
            </w:r>
          </w:p>
        </w:tc>
      </w:tr>
      <w:tr w:rsidR="00BE0FA2" w:rsidTr="008838BB">
        <w:trPr>
          <w:trHeight w:val="284"/>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E0FA2" w:rsidRDefault="00BE0FA2" w:rsidP="008838BB">
            <w:pPr>
              <w:jc w:val="right"/>
              <w:rPr>
                <w:rFonts w:ascii="Calibri" w:hAnsi="Calibri"/>
                <w:color w:val="000000"/>
                <w:sz w:val="22"/>
                <w:szCs w:val="22"/>
              </w:rPr>
            </w:pPr>
            <w:r>
              <w:rPr>
                <w:rFonts w:ascii="Calibri" w:hAnsi="Calibri"/>
                <w:color w:val="000000"/>
                <w:sz w:val="22"/>
                <w:szCs w:val="22"/>
              </w:rPr>
              <w:t>192</w:t>
            </w: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rPr>
                <w:rFonts w:cs="Arial"/>
                <w:sz w:val="22"/>
                <w:szCs w:val="22"/>
              </w:rPr>
            </w:pPr>
            <w:r>
              <w:rPr>
                <w:rFonts w:cs="Arial"/>
                <w:sz w:val="22"/>
                <w:szCs w:val="22"/>
              </w:rPr>
              <w:t xml:space="preserve">Corretivo líquido a base de água </w:t>
            </w:r>
            <w:proofErr w:type="spellStart"/>
            <w:r>
              <w:rPr>
                <w:rFonts w:cs="Arial"/>
                <w:sz w:val="22"/>
                <w:szCs w:val="22"/>
              </w:rPr>
              <w:t>frs</w:t>
            </w:r>
            <w:proofErr w:type="spellEnd"/>
            <w:r>
              <w:rPr>
                <w:rFonts w:cs="Arial"/>
                <w:sz w:val="22"/>
                <w:szCs w:val="22"/>
              </w:rPr>
              <w:t xml:space="preserve"> com 18 ml (</w:t>
            </w:r>
            <w:proofErr w:type="spellStart"/>
            <w:r>
              <w:rPr>
                <w:rFonts w:cs="Arial"/>
                <w:sz w:val="22"/>
                <w:szCs w:val="22"/>
              </w:rPr>
              <w:t>cx</w:t>
            </w:r>
            <w:proofErr w:type="spellEnd"/>
            <w:r>
              <w:rPr>
                <w:rFonts w:cs="Arial"/>
                <w:sz w:val="22"/>
                <w:szCs w:val="22"/>
              </w:rPr>
              <w:t xml:space="preserve"> com 12)</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sz w:val="22"/>
                <w:szCs w:val="22"/>
              </w:rPr>
            </w:pPr>
            <w:r>
              <w:rPr>
                <w:rFonts w:cs="Arial"/>
                <w:sz w:val="22"/>
                <w:szCs w:val="22"/>
              </w:rPr>
              <w:t>FRAMA</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CX</w:t>
            </w:r>
          </w:p>
        </w:tc>
        <w:tc>
          <w:tcPr>
            <w:tcW w:w="736" w:type="dxa"/>
            <w:tcBorders>
              <w:top w:val="single" w:sz="4" w:space="0" w:color="auto"/>
              <w:left w:val="nil"/>
              <w:bottom w:val="single" w:sz="4" w:space="0" w:color="auto"/>
              <w:right w:val="single" w:sz="4" w:space="0" w:color="auto"/>
            </w:tcBorders>
            <w:shd w:val="clear" w:color="auto" w:fill="FFFFFF"/>
            <w:noWrap/>
            <w:vAlign w:val="center"/>
            <w:hideMark/>
          </w:tcPr>
          <w:p w:rsidR="00BE0FA2" w:rsidRDefault="00BE0FA2" w:rsidP="008838BB">
            <w:pPr>
              <w:jc w:val="center"/>
              <w:rPr>
                <w:rFonts w:cs="Arial"/>
                <w:sz w:val="22"/>
                <w:szCs w:val="22"/>
              </w:rPr>
            </w:pPr>
            <w:r>
              <w:rPr>
                <w:rFonts w:cs="Arial"/>
                <w:sz w:val="22"/>
                <w:szCs w:val="22"/>
              </w:rPr>
              <w:t>50</w:t>
            </w:r>
          </w:p>
        </w:tc>
        <w:tc>
          <w:tcPr>
            <w:tcW w:w="1085" w:type="dxa"/>
            <w:tcBorders>
              <w:top w:val="single" w:sz="4" w:space="0" w:color="auto"/>
              <w:left w:val="nil"/>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13,00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E0FA2" w:rsidRDefault="00BE0FA2" w:rsidP="008838BB">
            <w:pPr>
              <w:rPr>
                <w:rFonts w:ascii="Calibri" w:hAnsi="Calibri"/>
                <w:color w:val="000000"/>
                <w:sz w:val="22"/>
                <w:szCs w:val="22"/>
              </w:rPr>
            </w:pPr>
            <w:r>
              <w:rPr>
                <w:rFonts w:ascii="Calibri" w:hAnsi="Calibri"/>
                <w:color w:val="000000"/>
                <w:sz w:val="22"/>
                <w:szCs w:val="22"/>
              </w:rPr>
              <w:t xml:space="preserve"> R$         650,00 </w:t>
            </w:r>
          </w:p>
        </w:tc>
      </w:tr>
      <w:tr w:rsidR="00BE0FA2" w:rsidTr="008838BB">
        <w:trPr>
          <w:trHeight w:val="284"/>
          <w:jc w:val="center"/>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E0FA2" w:rsidRDefault="00BE0FA2" w:rsidP="008838BB">
            <w:pPr>
              <w:jc w:val="right"/>
              <w:rPr>
                <w:rFonts w:ascii="Calibri" w:hAnsi="Calibri"/>
                <w:color w:val="000000"/>
                <w:sz w:val="22"/>
                <w:szCs w:val="22"/>
              </w:rPr>
            </w:pPr>
          </w:p>
        </w:tc>
        <w:tc>
          <w:tcPr>
            <w:tcW w:w="3735" w:type="dxa"/>
            <w:tcBorders>
              <w:top w:val="single" w:sz="4" w:space="0" w:color="auto"/>
              <w:left w:val="nil"/>
              <w:bottom w:val="single" w:sz="4" w:space="0" w:color="auto"/>
              <w:right w:val="nil"/>
            </w:tcBorders>
            <w:shd w:val="clear" w:color="auto" w:fill="FFFFFF"/>
            <w:vAlign w:val="center"/>
            <w:hideMark/>
          </w:tcPr>
          <w:p w:rsidR="00BE0FA2" w:rsidRDefault="00BE0FA2" w:rsidP="008838BB">
            <w:pPr>
              <w:rPr>
                <w:rFonts w:cs="Arial"/>
              </w:rPr>
            </w:pPr>
            <w:r>
              <w:rPr>
                <w:rFonts w:cs="Arial"/>
              </w:rPr>
              <w:t>TOTAL</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BE0FA2" w:rsidRDefault="00BE0FA2" w:rsidP="008838BB">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E0FA2" w:rsidRDefault="00BE0FA2" w:rsidP="008838BB">
            <w:pPr>
              <w:jc w:val="center"/>
              <w:rPr>
                <w:rFonts w:cs="Arial"/>
              </w:rPr>
            </w:pPr>
          </w:p>
        </w:tc>
        <w:tc>
          <w:tcPr>
            <w:tcW w:w="736" w:type="dxa"/>
            <w:tcBorders>
              <w:top w:val="single" w:sz="4" w:space="0" w:color="auto"/>
              <w:left w:val="nil"/>
              <w:bottom w:val="single" w:sz="4" w:space="0" w:color="auto"/>
              <w:right w:val="single" w:sz="4" w:space="0" w:color="auto"/>
            </w:tcBorders>
            <w:shd w:val="clear" w:color="auto" w:fill="FFFFFF"/>
            <w:noWrap/>
            <w:vAlign w:val="center"/>
          </w:tcPr>
          <w:p w:rsidR="00BE0FA2" w:rsidRDefault="00BE0FA2" w:rsidP="008838BB">
            <w:pPr>
              <w:jc w:val="center"/>
              <w:rPr>
                <w:rFonts w:cs="Arial"/>
              </w:rPr>
            </w:pPr>
          </w:p>
        </w:tc>
        <w:tc>
          <w:tcPr>
            <w:tcW w:w="1085" w:type="dxa"/>
            <w:tcBorders>
              <w:top w:val="single" w:sz="4" w:space="0" w:color="auto"/>
              <w:left w:val="nil"/>
              <w:bottom w:val="single" w:sz="4" w:space="0" w:color="auto"/>
              <w:right w:val="single" w:sz="4" w:space="0" w:color="auto"/>
            </w:tcBorders>
            <w:shd w:val="clear" w:color="auto" w:fill="FFFFFF"/>
            <w:vAlign w:val="center"/>
            <w:hideMark/>
          </w:tcPr>
          <w:p w:rsidR="00BE0FA2" w:rsidRDefault="00BE0FA2" w:rsidP="008838BB">
            <w:pPr>
              <w:jc w:val="center"/>
              <w:rPr>
                <w:rFonts w:ascii="Calibri" w:hAnsi="Calibri"/>
                <w:color w:val="000000"/>
              </w:rPr>
            </w:pPr>
            <w:r>
              <w:rPr>
                <w:rFonts w:ascii="Calibri" w:hAnsi="Calibri" w:cs="Arial"/>
                <w:color w:val="000000"/>
              </w:rPr>
              <w:t xml:space="preserve"> </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tcPr>
          <w:p w:rsidR="00BE0FA2" w:rsidRPr="00A37FC4" w:rsidRDefault="006D3EE0" w:rsidP="008838BB">
            <w:pPr>
              <w:jc w:val="center"/>
              <w:rPr>
                <w:rFonts w:ascii="Calibri" w:hAnsi="Calibri"/>
                <w:b/>
                <w:color w:val="000000"/>
                <w:sz w:val="22"/>
                <w:szCs w:val="22"/>
              </w:rPr>
            </w:pPr>
            <w:r>
              <w:rPr>
                <w:rFonts w:ascii="Calibri" w:hAnsi="Calibri"/>
                <w:b/>
                <w:color w:val="000000"/>
                <w:sz w:val="22"/>
                <w:szCs w:val="22"/>
              </w:rPr>
              <w:t>R$   21.817,65</w:t>
            </w:r>
            <w:r w:rsidR="00BE0FA2" w:rsidRPr="00A37FC4">
              <w:rPr>
                <w:rFonts w:ascii="Calibri" w:hAnsi="Calibri"/>
                <w:b/>
                <w:color w:val="000000"/>
                <w:sz w:val="22"/>
                <w:szCs w:val="22"/>
              </w:rPr>
              <w:t xml:space="preserve"> </w:t>
            </w:r>
          </w:p>
          <w:p w:rsidR="00BE0FA2" w:rsidRDefault="00BE0FA2" w:rsidP="008838BB">
            <w:pPr>
              <w:jc w:val="center"/>
              <w:rPr>
                <w:rFonts w:ascii="Calibri" w:hAnsi="Calibri"/>
                <w:color w:val="000000"/>
              </w:rPr>
            </w:pPr>
          </w:p>
        </w:tc>
      </w:tr>
    </w:tbl>
    <w:p w:rsidR="00970046" w:rsidRPr="00A179D4" w:rsidRDefault="00970046" w:rsidP="00702EE0">
      <w:pPr>
        <w:jc w:val="both"/>
        <w:rPr>
          <w:rFonts w:ascii="Arial" w:hAnsi="Arial" w:cs="Arial"/>
          <w:b/>
        </w:rPr>
      </w:pPr>
    </w:p>
    <w:p w:rsidR="001C29D0" w:rsidRPr="00A179D4" w:rsidRDefault="001C29D0" w:rsidP="00702EE0">
      <w:pPr>
        <w:jc w:val="both"/>
        <w:rPr>
          <w:rFonts w:ascii="Arial" w:hAnsi="Arial" w:cs="Arial"/>
        </w:rPr>
      </w:pPr>
    </w:p>
    <w:p w:rsidR="006566B8" w:rsidRPr="00A179D4" w:rsidRDefault="006566B8"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w:t>
      </w:r>
      <w:bookmarkStart w:id="0" w:name="_GoBack"/>
      <w:bookmarkEnd w:id="0"/>
      <w:r w:rsidRPr="00A179D4">
        <w:rPr>
          <w:rFonts w:ascii="Arial" w:hAnsi="Arial" w:cs="Arial"/>
        </w:rPr>
        <w:t xml:space="preserve">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lastRenderedPageBreak/>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96908" w:rsidRPr="00A179D4">
        <w:rPr>
          <w:rFonts w:ascii="Arial" w:hAnsi="Arial" w:cs="Arial"/>
          <w:szCs w:val="24"/>
        </w:rPr>
        <w:t>1/2020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 xml:space="preserve">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w:t>
      </w:r>
      <w:r w:rsidRPr="00A179D4">
        <w:rPr>
          <w:rFonts w:ascii="Arial" w:hAnsi="Arial" w:cs="Arial"/>
        </w:rPr>
        <w:lastRenderedPageBreak/>
        <w:t>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por</w:t>
      </w:r>
      <w:proofErr w:type="gramEnd"/>
      <w:r w:rsidRPr="00A179D4">
        <w:rPr>
          <w:rFonts w:ascii="Arial" w:hAnsi="Arial" w:cs="Arial"/>
        </w:rPr>
        <w:t xml:space="preserve">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proofErr w:type="gramStart"/>
      <w:r w:rsidRPr="00A179D4">
        <w:rPr>
          <w:rFonts w:ascii="Arial" w:hAnsi="Arial" w:cs="Arial"/>
        </w:rPr>
        <w:t>der</w:t>
      </w:r>
      <w:proofErr w:type="gramEnd"/>
      <w:r w:rsidRPr="00A179D4">
        <w:rPr>
          <w:rFonts w:ascii="Arial" w:hAnsi="Arial" w:cs="Arial"/>
        </w:rPr>
        <w:t xml:space="preserve">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lastRenderedPageBreak/>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0B3E21" w:rsidRDefault="000B3E21"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396908" w:rsidRPr="00A179D4">
        <w:rPr>
          <w:rFonts w:ascii="Arial" w:hAnsi="Arial" w:cs="Arial"/>
          <w:color w:val="000000"/>
        </w:rPr>
        <w:t>001</w:t>
      </w:r>
      <w:r w:rsidR="00FB5941">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 xml:space="preserve">edades empresárias: </w:t>
      </w:r>
      <w:r w:rsidR="00E7310A" w:rsidRPr="002F728F">
        <w:rPr>
          <w:b/>
        </w:rPr>
        <w:t>MOSAICO DISTRIBUIDORA ATACADO E ELETRONICOS EIRELI</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proofErr w:type="gramStart"/>
      <w:r w:rsidRPr="00A179D4">
        <w:rPr>
          <w:rFonts w:ascii="Arial" w:hAnsi="Arial" w:cs="Arial"/>
          <w:b/>
          <w:szCs w:val="24"/>
        </w:rPr>
        <w:t>3.931</w:t>
      </w:r>
      <w:r w:rsidRPr="00A179D4">
        <w:rPr>
          <w:rFonts w:ascii="Arial" w:hAnsi="Arial" w:cs="Arial"/>
          <w:szCs w:val="24"/>
        </w:rPr>
        <w:t>,de</w:t>
      </w:r>
      <w:proofErr w:type="gramEnd"/>
      <w:r w:rsidRPr="00A179D4">
        <w:rPr>
          <w:rFonts w:ascii="Arial" w:hAnsi="Arial" w:cs="Arial"/>
          <w:szCs w:val="24"/>
        </w:rPr>
        <w:t xml:space="preserv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0B3E21" w:rsidRDefault="000B3E21" w:rsidP="00970046">
      <w:pPr>
        <w:rPr>
          <w:rFonts w:ascii="Arial" w:hAnsi="Arial" w:cs="Arial"/>
          <w:b/>
          <w:w w:val="90"/>
        </w:rPr>
      </w:pPr>
    </w:p>
    <w:p w:rsidR="00970046"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CE2120" w:rsidRPr="00A179D4" w:rsidRDefault="00CE2120" w:rsidP="00970046">
      <w:pPr>
        <w:rPr>
          <w:rFonts w:ascii="Arial" w:hAnsi="Arial" w:cs="Arial"/>
          <w:b/>
          <w:w w:val="90"/>
        </w:rPr>
      </w:pPr>
    </w:p>
    <w:p w:rsidR="00702EE0" w:rsidRPr="00A179D4" w:rsidRDefault="00702EE0" w:rsidP="00702EE0">
      <w:pPr>
        <w:pStyle w:val="Corpodetexto"/>
        <w:rPr>
          <w:b w:val="0"/>
          <w:caps/>
          <w:color w:val="0000FF"/>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702EE0" w:rsidRPr="00A179D4" w:rsidTr="00B13843">
        <w:trPr>
          <w:trHeight w:val="267"/>
        </w:trPr>
        <w:tc>
          <w:tcPr>
            <w:tcW w:w="4116" w:type="dxa"/>
            <w:vAlign w:val="center"/>
          </w:tcPr>
          <w:p w:rsidR="00702EE0" w:rsidRPr="00A179D4" w:rsidRDefault="00702EE0" w:rsidP="00B13843">
            <w:pPr>
              <w:jc w:val="center"/>
            </w:pPr>
            <w:r w:rsidRPr="00A179D4">
              <w:t>DOTAÇÃO</w:t>
            </w:r>
          </w:p>
        </w:tc>
        <w:tc>
          <w:tcPr>
            <w:tcW w:w="5348" w:type="dxa"/>
            <w:vAlign w:val="center"/>
          </w:tcPr>
          <w:p w:rsidR="00702EE0" w:rsidRPr="00A179D4" w:rsidRDefault="00702EE0" w:rsidP="00B13843">
            <w:pPr>
              <w:jc w:val="center"/>
            </w:pPr>
            <w:r w:rsidRPr="00A179D4">
              <w:t>UNIDADE</w:t>
            </w:r>
          </w:p>
        </w:tc>
      </w:tr>
      <w:tr w:rsidR="00396908" w:rsidRPr="00A179D4" w:rsidTr="00B13843">
        <w:trPr>
          <w:trHeight w:val="397"/>
        </w:trPr>
        <w:tc>
          <w:tcPr>
            <w:tcW w:w="4116" w:type="dxa"/>
            <w:vAlign w:val="center"/>
          </w:tcPr>
          <w:p w:rsidR="00396908" w:rsidRPr="00A179D4" w:rsidRDefault="00396908" w:rsidP="00396908">
            <w:r w:rsidRPr="00A179D4">
              <w:t>01.02.01.04.122.0040.2004.3.3.90.30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01.05.08.04.122.0002.2008.3.3.90.30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01.06.01.12.122.0007.2122.3.3.90.30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01.06.01.12.122.0007.2030.3.3.90.30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01.06.01.12.122.0007.2036.3.3.90.30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lastRenderedPageBreak/>
              <w:t>01.07.04.10.304.0011.2054.3.3.90.30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01.07.04.10.304.0011.2045.3.3.90.30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01.07.04.10.304.0011.2049.3.3.90.30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01.08.02.08.244.0013.1127.3.3.90.30</w:t>
            </w:r>
          </w:p>
        </w:tc>
        <w:tc>
          <w:tcPr>
            <w:tcW w:w="5348" w:type="dxa"/>
            <w:vAlign w:val="center"/>
          </w:tcPr>
          <w:p w:rsidR="00396908" w:rsidRPr="00A179D4" w:rsidRDefault="00396908" w:rsidP="00396908">
            <w:pPr>
              <w:jc w:val="center"/>
            </w:pPr>
            <w:r w:rsidRPr="00A179D4">
              <w:t>MATERIAIS DE CONSUMO</w:t>
            </w:r>
          </w:p>
        </w:tc>
      </w:tr>
    </w:tbl>
    <w:p w:rsidR="00970046" w:rsidRPr="00A179D4" w:rsidRDefault="00970046" w:rsidP="00970046">
      <w:pPr>
        <w:rPr>
          <w:rFonts w:ascii="Arial" w:hAnsi="Arial" w:cs="Arial"/>
          <w:b/>
          <w:w w:val="90"/>
        </w:rPr>
      </w:pPr>
    </w:p>
    <w:p w:rsidR="000B3E21" w:rsidRDefault="000B3E21" w:rsidP="00970046">
      <w:pPr>
        <w:rPr>
          <w:rFonts w:ascii="Arial" w:hAnsi="Arial" w:cs="Arial"/>
          <w:b/>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0B3E21" w:rsidRDefault="000B3E21" w:rsidP="00970046">
      <w:pPr>
        <w:ind w:left="426" w:hanging="426"/>
        <w:jc w:val="both"/>
        <w:rPr>
          <w:rFonts w:ascii="Arial" w:hAnsi="Arial" w:cs="Arial"/>
          <w:b/>
          <w:bCs/>
        </w:rPr>
      </w:pPr>
    </w:p>
    <w:p w:rsidR="00970046" w:rsidRPr="00A179D4" w:rsidRDefault="00970046" w:rsidP="00970046">
      <w:pPr>
        <w:ind w:left="426" w:hanging="426"/>
        <w:jc w:val="both"/>
        <w:rPr>
          <w:rFonts w:ascii="Arial" w:hAnsi="Arial" w:cs="Arial"/>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0B3E21" w:rsidRDefault="000B3E21" w:rsidP="00970046">
      <w:pPr>
        <w:tabs>
          <w:tab w:val="left" w:pos="8647"/>
          <w:tab w:val="left" w:pos="10632"/>
        </w:tabs>
        <w:ind w:right="-1"/>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396908" w:rsidRPr="00A179D4">
        <w:rPr>
          <w:rFonts w:ascii="Arial" w:hAnsi="Arial" w:cs="Arial"/>
        </w:rPr>
        <w:t>10</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702EE0" w:rsidRPr="00A179D4" w:rsidRDefault="00702EE0" w:rsidP="00702EE0">
      <w:pPr>
        <w:suppressAutoHyphens/>
        <w:jc w:val="center"/>
        <w:rPr>
          <w:rFonts w:ascii="Arial" w:hAnsi="Arial" w:cs="Arial"/>
          <w:b/>
          <w:w w:val="99"/>
        </w:rPr>
      </w:pP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702EE0" w:rsidRPr="00A179D4" w:rsidRDefault="00E7310A" w:rsidP="00702EE0">
      <w:pPr>
        <w:suppressAutoHyphens/>
        <w:jc w:val="center"/>
        <w:rPr>
          <w:rFonts w:ascii="Arial" w:hAnsi="Arial" w:cs="Arial"/>
          <w:b/>
        </w:rPr>
      </w:pPr>
      <w:r w:rsidRPr="002F728F">
        <w:rPr>
          <w:b/>
        </w:rPr>
        <w:t>MOSAICO DISTRIBUIDORA ATACADO E ELETRONICOS EIRELI</w:t>
      </w:r>
      <w:r w:rsidRPr="00A179D4">
        <w:rPr>
          <w:rFonts w:ascii="Arial" w:hAnsi="Arial" w:cs="Arial"/>
          <w:b/>
        </w:rPr>
        <w:t xml:space="preserve"> </w:t>
      </w:r>
      <w:r w:rsidR="00970046" w:rsidRPr="00A179D4">
        <w:rPr>
          <w:rFonts w:ascii="Arial" w:hAnsi="Arial" w:cs="Arial"/>
          <w:b/>
        </w:rPr>
        <w:t>FORNECEDOR</w:t>
      </w:r>
    </w:p>
    <w:p w:rsidR="00702EE0" w:rsidRPr="00A179D4" w:rsidRDefault="00702EE0" w:rsidP="00702EE0">
      <w:pPr>
        <w:suppressAutoHyphens/>
        <w:jc w:val="center"/>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970046" w:rsidRPr="00A179D4" w:rsidRDefault="00970046" w:rsidP="00970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p w:rsidR="00970046" w:rsidRPr="00A179D4" w:rsidRDefault="00970046" w:rsidP="008752E7">
      <w:pPr>
        <w:spacing w:line="360" w:lineRule="auto"/>
        <w:jc w:val="both"/>
      </w:pPr>
    </w:p>
    <w:p w:rsidR="00CF781F" w:rsidRPr="00A179D4" w:rsidRDefault="00CF781F" w:rsidP="008752E7">
      <w:pPr>
        <w:spacing w:line="360" w:lineRule="auto"/>
        <w:jc w:val="both"/>
      </w:pP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78" w:rsidRDefault="00EB5A78">
      <w:r>
        <w:separator/>
      </w:r>
    </w:p>
  </w:endnote>
  <w:endnote w:type="continuationSeparator" w:id="0">
    <w:p w:rsidR="00EB5A78" w:rsidRDefault="00EB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78" w:rsidRDefault="00907E3E" w:rsidP="006D4C3D">
    <w:pPr>
      <w:pStyle w:val="Rodap"/>
    </w:pPr>
    <w:r>
      <w:pict>
        <v:rect id="_x0000_i1026" style="width:420.25pt;height:3pt" o:hralign="center" o:hrstd="t" o:hrnoshade="t" o:hr="t" fillcolor="black" stroked="f"/>
      </w:pict>
    </w:r>
  </w:p>
  <w:p w:rsidR="00EB5A78" w:rsidRDefault="00EB5A78"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EB5A78" w:rsidRPr="00A13DA9" w:rsidRDefault="00EB5A78"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78" w:rsidRDefault="00EB5A78">
      <w:r>
        <w:separator/>
      </w:r>
    </w:p>
  </w:footnote>
  <w:footnote w:type="continuationSeparator" w:id="0">
    <w:p w:rsidR="00EB5A78" w:rsidRDefault="00EB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78" w:rsidRPr="001815D6" w:rsidRDefault="00EB5A78"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EB5A78" w:rsidRPr="001815D6" w:rsidRDefault="00EB5A78"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EB5A78" w:rsidRDefault="00EB5A78"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EB5A78" w:rsidRDefault="00907E3E"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39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E21"/>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3EE0"/>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B743E"/>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07E3E"/>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5011"/>
    <w:rsid w:val="00BC69A9"/>
    <w:rsid w:val="00BD2ECD"/>
    <w:rsid w:val="00BE0350"/>
    <w:rsid w:val="00BE0FA2"/>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2120"/>
    <w:rsid w:val="00CE455A"/>
    <w:rsid w:val="00CE5250"/>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10A"/>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5A78"/>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6C0B"/>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5941"/>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3971"/>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A809-039D-44DC-8BE7-A272301F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2831</Words>
  <Characters>15632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6</cp:revision>
  <cp:lastPrinted>2020-02-12T18:49:00Z</cp:lastPrinted>
  <dcterms:created xsi:type="dcterms:W3CDTF">2020-02-07T22:01:00Z</dcterms:created>
  <dcterms:modified xsi:type="dcterms:W3CDTF">2020-02-12T18:54:00Z</dcterms:modified>
</cp:coreProperties>
</file>